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Paul Graham’s Essays Lead Brian Armstrong’s Latest Resource Signals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2026-03-24</w:t>
      </w:r>
    </w:p>
    <w:bookmarkStart w:id="26" w:name="Xcfd13a223a42d33be7a6a15edaed084969abd07"/>
    <w:p>
      <w:pPr>
        <w:pStyle w:val="Heading1"/>
      </w:pPr>
      <w:r>
        <w:t xml:space="preserve">Paul Graham’s Essays Lead Brian Armstrong’s Latest Resource Signals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24, 2026</w:t>
      </w:r>
    </w:p>
    <w:p>
      <w:pPr>
        <w:pStyle w:val="BodyText"/>
      </w:pPr>
      <w:r>
        <w:t xml:space="preserve">Brian Armstrong’s recommendations today split between execution and macro context: Paul Graham’s public essays for acting under uncertainty, and a Niall Ferguson book for understanding monetary history. Graham’s writing stands out because Armstrong ties it to a specific principle he still repeats: action produces information.</w:t>
      </w:r>
    </w:p>
    <w:bookmarkStart w:id="20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The strongest save today is</w:t>
      </w:r>
      <w:r>
        <w:t xml:space="preserve"> </w:t>
      </w:r>
      <w:r>
        <w:rPr>
          <w:bCs/>
          <w:b/>
        </w:rPr>
        <w:t xml:space="preserve">Paul Graham’s public essays</w:t>
      </w:r>
      <w:r>
        <w:t xml:space="preserve">. The endorsement is unusually specific: Armstrong says he read almost all of Graham’s writing on his public website, calls him a</w:t>
      </w:r>
      <w:r>
        <w:t xml:space="preserve"> </w:t>
      </w:r>
      <w:r>
        <w:t xml:space="preserve">“</w:t>
      </w:r>
      <w:r>
        <w:t xml:space="preserve">legend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hero,</w:t>
      </w:r>
      <w:r>
        <w:t xml:space="preserve">”</w:t>
      </w:r>
      <w:r>
        <w:t xml:space="preserve"> </w:t>
      </w:r>
      <w:r>
        <w:t xml:space="preserve">and still cites one lesson as a favorite: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action produces information.</w:t>
      </w:r>
      <w:r>
        <w:rPr>
          <w:bCs/>
          <w:b/>
        </w:rPr>
        <w:t xml:space="preserve">”</w:t>
      </w:r>
      <w:r>
        <w:t xml:space="preserve"> </w:t>
      </w:r>
      <w:r>
        <w:t xml:space="preserve">[1, 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Paul Graham’s public essays / public website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Essays / blog writing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Paul Graham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paulgraham.com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If you are unsure what to do, take an action that generates feedback—even a small one—because it helps break analysis paralysis and reveals the next step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not a generic endorsement. Armstrong presents Graham as someone who shaped how he operates and pairs the recommendation with a concrete decision-making framework he still uses [1, 2]</w:t>
      </w:r>
    </w:p>
    <w:p>
      <w:pPr>
        <w:pStyle w:val="BlockText"/>
      </w:pPr>
      <w:r>
        <w:t xml:space="preserve">“</w:t>
      </w:r>
      <w:r>
        <w:t xml:space="preserve">One of my favorite lessons is that action produces information.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Armstrong expands that principle in practical terms: host a dinner, call someone, choose a name, or write a paragraph—anything that starts motion and creates information about what to do next [1]</w:t>
      </w:r>
    </w:p>
    <w:bookmarkEnd w:id="20"/>
    <w:bookmarkStart w:id="21" w:name="also-worth-saving"/>
    <w:p>
      <w:pPr>
        <w:pStyle w:val="Heading2"/>
      </w:pPr>
      <w:r>
        <w:t xml:space="preserve">Also worth saving</w:t>
      </w:r>
    </w:p>
    <w:p>
      <w:pPr>
        <w:pStyle w:val="FirstParagraph"/>
      </w:pPr>
      <w:r>
        <w:t xml:space="preserve">Armstrong separately recommends</w:t>
      </w:r>
      <w:r>
        <w:t xml:space="preserve"> </w:t>
      </w:r>
      <w:r>
        <w:rPr>
          <w:bCs/>
          <w:b/>
        </w:rPr>
        <w:t xml:space="preserve">a Niall Ferguson book on the history of money</w:t>
      </w:r>
      <w:r>
        <w:t xml:space="preserve">, but he does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name the exact title in the cited remarks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t xml:space="preserve">Niall Ferguson book on the history of money</w:t>
      </w:r>
      <w:r>
        <w:t xml:space="preserve"> </w:t>
      </w:r>
      <w:r>
        <w:rPr>
          <w:iCs/>
          <w:i/>
        </w:rPr>
        <w:t xml:space="preserve">(title not specified in the source)</w:t>
      </w:r>
      <w:r>
        <w:t xml:space="preserve"> </w:t>
      </w:r>
      <w:r>
        <w:t xml:space="preserve">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Book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Niall Ferguson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r>
        <w:t xml:space="preserve">Not provided in the source material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Brian Armstrong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Armstrong recommends it as a way to study monetary history and understand how recent the current central-bank system is, dating the modern setup to 1971 when Nixon left the gold standard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In Armstrong’s framing, the historical lens matters because currencies disconnected from hard-backed commodities can lead to overprinting, inflation, and eventual loss of reserve-currency status [2]</w:t>
      </w:r>
    </w:p>
    <w:bookmarkEnd w:id="21"/>
    <w:bookmarkStart w:id="25" w:name="pattern"/>
    <w:p>
      <w:pPr>
        <w:pStyle w:val="Heading2"/>
      </w:pPr>
      <w:r>
        <w:t xml:space="preserve">Pattern</w:t>
      </w:r>
    </w:p>
    <w:p>
      <w:pPr>
        <w:pStyle w:val="FirstParagraph"/>
      </w:pPr>
      <w:r>
        <w:t xml:space="preserve">Today’s signal is small but coherent: Armstrong points readers to one resource for</w:t>
      </w:r>
      <w:r>
        <w:t xml:space="preserve"> </w:t>
      </w:r>
      <w:r>
        <w:rPr>
          <w:bCs/>
          <w:b/>
        </w:rPr>
        <w:t xml:space="preserve">operating under uncertainty</w:t>
      </w:r>
      <w:r>
        <w:t xml:space="preserve"> </w:t>
      </w:r>
      <w:r>
        <w:t xml:space="preserve">and another for</w:t>
      </w:r>
      <w:r>
        <w:t xml:space="preserve"> </w:t>
      </w:r>
      <w:r>
        <w:rPr>
          <w:bCs/>
          <w:b/>
        </w:rPr>
        <w:t xml:space="preserve">understanding monetary regimes through history</w:t>
      </w:r>
      <w:r>
        <w:t xml:space="preserve">. One offers a founder heuristic for getting unstuck; the other offers historical context for questioning how durable the current system is in Armstrong’s framing [1, 2]</w:t>
      </w:r>
    </w:p>
    <w:p>
      <w:r>
        <w:pict>
          <v:rect style="width:0;height:1.5pt" o:hralign="center" o:hrstd="t" o:hr="t"/>
        </w:pict>
      </w:r>
    </w:p>
    <w:bookmarkStart w:id="2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2">
        <w:r>
          <w:rPr>
            <w:rStyle w:val="Hyperlink"/>
          </w:rPr>
          <w:t xml:space="preserve">Crypto Billionaire Invests in Rewriting Children’s DNA - Coinbase CEO</w:t>
        </w:r>
      </w:hyperlink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Brian Armstrong — It’s Wartime, All the Time</w:t>
        </w:r>
      </w:hyperlink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www.youtube.com/watch?v=bF46gLAhjvY" TargetMode="External" /><Relationship Type="http://schemas.openxmlformats.org/officeDocument/2006/relationships/hyperlink" Id="rId23" Target="https://www.youtube.com/watch?v=bzYQWBBX7w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www.youtube.com/watch?v=bF46gLAhjvY" TargetMode="External" /><Relationship Type="http://schemas.openxmlformats.org/officeDocument/2006/relationships/hyperlink" Id="rId23" Target="https://www.youtube.com/watch?v=bzYQWBBX7w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Graham’s Essays Lead Brian Armstrong’s Latest Resource Signals</dc:title>
  <dc:creator>Recommended Reading from Tech Founders</dc:creator>
  <cp:keywords/>
  <dcterms:created xsi:type="dcterms:W3CDTF">2026-03-24T20:19:13Z</dcterms:created>
  <dcterms:modified xsi:type="dcterms:W3CDTF">2026-03-24T20:19:13Z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2026-03-24</vt:lpwstr>
  </property>
</Properties>
</file>