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9.jpg" ContentType="image/jpeg"/>
  <Override PartName="/word/media/rId25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Persistent Sessions, Explicit Delegation, and 15× Agent Costs</w:t>
      </w:r>
    </w:p>
    <w:p>
      <w:pPr>
        <w:pStyle w:val="Author"/>
      </w:pPr>
      <w:r>
        <w:t xml:space="preserve">Coding Agents Alpha Tracker</w:t>
      </w:r>
    </w:p>
    <w:p>
      <w:pPr>
        <w:pStyle w:val="Date"/>
      </w:pPr>
      <w:r>
        <w:t xml:space="preserve">2026-07-21</w:t>
      </w:r>
    </w:p>
    <w:bookmarkStart w:id="42" w:name="X8a31b1e277a1d57e22e77a47c6e0d733a2a597d"/>
    <w:p>
      <w:pPr>
        <w:pStyle w:val="Heading1"/>
      </w:pPr>
      <w:r>
        <w:t xml:space="preserve">Persistent Sessions, Explicit Delegation, and 15× Agent Costs</w:t>
      </w:r>
    </w:p>
    <w:p>
      <w:pPr>
        <w:pStyle w:val="FirstParagraph"/>
      </w:pPr>
      <w:r>
        <w:rPr>
          <w:iCs/>
          <w:i/>
        </w:rPr>
        <w:t xml:space="preserve">By Coding Agents Alpha Tracker • July 21, 2026</w:t>
      </w:r>
    </w:p>
    <w:p>
      <w:pPr>
        <w:pStyle w:val="BodyText"/>
      </w:pPr>
      <w:r>
        <w:t xml:space="preserve">Persistent worker sessions emerge as a practical alternative to disposable sub-agents, alongside explicit coordinator/executor rules and fresh evidence that model choice can swing swarm costs by 15×. Also covered: TMUX orchestration, Kody discovery, Clerk’s agent-facing platform workflow, and context compaction.</w:t>
      </w:r>
    </w:p>
    <w:bookmarkStart w:id="20" w:name="top-signal"/>
    <w:p>
      <w:pPr>
        <w:pStyle w:val="Heading2"/>
      </w:pPr>
      <w:r>
        <w:t xml:space="preserve">🔥 TOP SIGNAL</w:t>
      </w:r>
    </w:p>
    <w:p>
      <w:pPr>
        <w:pStyle w:val="FirstParagraph"/>
      </w:pPr>
      <w:r>
        <w:rPr>
          <w:bCs/>
          <w:b/>
        </w:rPr>
        <w:t xml:space="preserve">Treat a worker session as durable project state, not a disposable sub-agent.</w:t>
      </w:r>
      <w:r>
        <w:t xml:space="preserve"> </w:t>
      </w:r>
      <w:r>
        <w:t xml:space="preserve">AI Jason’s</w:t>
      </w:r>
      <w:r>
        <w:t xml:space="preserve"> </w:t>
      </w:r>
      <w:r>
        <w:t xml:space="preserve">“</w:t>
      </w:r>
      <w:r>
        <w:t xml:space="preserve">sidekick</w:t>
      </w:r>
      <w:r>
        <w:t xml:space="preserve">”</w:t>
      </w:r>
      <w:r>
        <w:t xml:space="preserve"> </w:t>
      </w:r>
      <w:r>
        <w:t xml:space="preserve">pattern sends revisions back to the same worker so it retains the prior conversation instead of rereading it; Boris Cherny separately reports Claude Code sessions running coherently for weeks, which he attributes to alignment, general intelligence, and memory. [1, 2]</w:t>
      </w:r>
    </w:p>
    <w:p>
      <w:pPr>
        <w:pStyle w:val="BodyText"/>
      </w:pPr>
      <w:r>
        <w:t xml:space="preserve">The practical payoff is straightforward: use a high-judgment coordinator to make decisions, then keep execution attached to persistent workers—rather than repeatedly creating fresh agents with no task history. AI Jason says the alternative</w:t>
      </w:r>
      <w:r>
        <w:t xml:space="preserve"> </w:t>
      </w:r>
      <w:r>
        <w:t xml:space="preserve">“</w:t>
      </w:r>
      <w:r>
        <w:t xml:space="preserve">advisor</w:t>
      </w:r>
      <w:r>
        <w:t xml:space="preserve">”</w:t>
      </w:r>
      <w:r>
        <w:t xml:space="preserve"> </w:t>
      </w:r>
      <w:r>
        <w:t xml:space="preserve">setup is costly because the advisor must read the executor’s full history. [1]</w:t>
      </w:r>
    </w:p>
    <w:bookmarkEnd w:id="20"/>
    <w:bookmarkStart w:id="22" w:name="try-this"/>
    <w:p>
      <w:pPr>
        <w:pStyle w:val="Heading2"/>
      </w:pPr>
      <w:r>
        <w:t xml:space="preserve">⚡ TRY THIS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Make every substantial subtask a persistent worker.</w:t>
      </w:r>
    </w:p>
    <w:p>
      <w:pPr>
        <w:numPr>
          <w:ilvl w:val="1"/>
          <w:numId w:val="1002"/>
        </w:numPr>
        <w:pStyle w:val="Compact"/>
      </w:pPr>
      <w:r>
        <w:t xml:space="preserve">Have the main agent create a clear spec in a task folder.</w:t>
      </w:r>
    </w:p>
    <w:p>
      <w:pPr>
        <w:numPr>
          <w:ilvl w:val="1"/>
          <w:numId w:val="1002"/>
        </w:numPr>
        <w:pStyle w:val="Compact"/>
      </w:pPr>
      <w:r>
        <w:t xml:space="preserve">Spawn one executor for implementation.</w:t>
      </w:r>
    </w:p>
    <w:p>
      <w:pPr>
        <w:numPr>
          <w:ilvl w:val="1"/>
          <w:numId w:val="1002"/>
        </w:numPr>
        <w:pStyle w:val="Compact"/>
      </w:pPr>
      <w:r>
        <w:t xml:space="preserve">When review finds an issue, send the feedback to that</w:t>
      </w:r>
      <w:r>
        <w:t xml:space="preserve"> </w:t>
      </w:r>
      <w:r>
        <w:rPr>
          <w:iCs/>
          <w:i/>
        </w:rPr>
        <w:t xml:space="preserve">same</w:t>
      </w:r>
      <w:r>
        <w:t xml:space="preserve"> </w:t>
      </w:r>
      <w:r>
        <w:t xml:space="preserve">session—not a new agent.</w:t>
      </w:r>
    </w:p>
    <w:p>
      <w:pPr>
        <w:numPr>
          <w:ilvl w:val="1"/>
          <w:numId w:val="1002"/>
        </w:numPr>
        <w:pStyle w:val="Compact"/>
      </w:pPr>
      <w:r>
        <w:t xml:space="preserve">Ask the worker to return a concise final summary only after the follow-up is complete.</w:t>
      </w:r>
    </w:p>
    <w:p>
      <w:pPr>
        <w:numPr>
          <w:ilvl w:val="0"/>
          <w:numId w:val="1000"/>
        </w:numPr>
      </w:pPr>
      <w:r>
        <w:t xml:space="preserve">AI Jason’s demonstrated setup explicitly assigns the worker the</w:t>
      </w:r>
      <w:r>
        <w:t xml:space="preserve"> </w:t>
      </w:r>
      <w:r>
        <w:rPr>
          <w:rStyle w:val="VerbatimChar"/>
        </w:rPr>
        <w:t xml:space="preserve">executor</w:t>
      </w:r>
      <w:r>
        <w:t xml:space="preserve"> </w:t>
      </w:r>
      <w:r>
        <w:t xml:space="preserve">role, tells it to read the spec first, and prohibits nested sub-agents. [1]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Put delegation boundaries in your agent instructions.</w:t>
      </w:r>
      <w:r>
        <w:t xml:space="preserve"> </w:t>
      </w:r>
      <w:r>
        <w:t xml:space="preserve">Define the primary agent as coordinator for design, planning, architecture, review, and tiny edits; delegate hands-on execution to a smaller-model worker. Add a role check such as</w:t>
      </w:r>
      <w:r>
        <w:t xml:space="preserve"> </w:t>
      </w:r>
      <w:r>
        <w:t xml:space="preserve">“</w:t>
      </w:r>
      <w:r>
        <w:t xml:space="preserve">you are an executor; do the work yourself; do not spawn agents</w:t>
      </w:r>
      <w:r>
        <w:t xml:space="preserve">”</w:t>
      </w:r>
      <w:r>
        <w:t xml:space="preserve"> </w:t>
      </w:r>
      <w:r>
        <w:t xml:space="preserve">to prevent uncontrolled nesting. [1]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Run a zero-setup automation discovery interview before adopting Kody.</w:t>
      </w:r>
      <w:r>
        <w:t xml:space="preserve"> </w:t>
      </w:r>
      <w:r>
        <w:t xml:space="preserve">Paste this into your preferred agent, then decide whether the proposed automations justify trying the tool:</w:t>
      </w:r>
    </w:p>
    <w:p>
      <w:pPr>
        <w:pStyle w:val="BlockText"/>
      </w:pPr>
      <w:r>
        <w:t xml:space="preserve">“</w:t>
      </w:r>
      <w:r>
        <w:t xml:space="preserve">I’m deciding whether Kody would be useful for me. Read</w:t>
      </w:r>
      <w:r>
        <w:t xml:space="preserve"> </w:t>
      </w:r>
      <w:hyperlink r:id="rId21">
        <w:r>
          <w:rPr>
            <w:rStyle w:val="Hyperlink"/>
          </w:rPr>
          <w:t xml:space="preserve">this capability guide</w:t>
        </w:r>
      </w:hyperlink>
      <w:r>
        <w:t xml:space="preserve"> </w:t>
      </w:r>
      <w:r>
        <w:t xml:space="preserve">and follow its links for anything you need more detail on. Then interview me about the tools I use, recurring chores I do by hand, and automations I’ve wished for. Finish with 3-5 specific things Kody could do for me, ranked by payoff versus setup effort, each with a concrete first step. Don’t set anything up yet — this works before I have an account.</w:t>
      </w:r>
      <w:r>
        <w:t xml:space="preserve">”</w:t>
      </w:r>
      <w:r>
        <w:t xml:space="preserve"> </w:t>
      </w:r>
      <w:r>
        <w:t xml:space="preserve">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If you use Clerk’s agent skill/MCP, drive the production checklist through prompts.</w:t>
      </w:r>
      <w:r>
        <w:t xml:space="preserve"> </w:t>
      </w:r>
      <w:r>
        <w:t xml:space="preserve">Fireship’s demo sequence was: ask the agent to handle sign-up/sign-in; ask it to add basic and premium plans; then ask for a user list. The demo produced auth pages, middleware, and a passing build, then pulled users from the API. [4]</w:t>
      </w:r>
    </w:p>
    <w:bookmarkEnd w:id="22"/>
    <w:bookmarkStart w:id="24" w:name="what-shipped"/>
    <w:p>
      <w:pPr>
        <w:pStyle w:val="Heading2"/>
      </w:pPr>
      <w:r>
        <w:t xml:space="preserve">📡 WHAT SHIPPED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Cursor: a concrete agent-swarm economics datapoint.</w:t>
      </w:r>
      <w:r>
        <w:t xml:space="preserve"> </w:t>
      </w:r>
      <w:r>
        <w:t xml:space="preserve">Cursor says a team of agents rebuilt SQLite from its 835-page manual into a Rust replica that passed 100% of a held-out test suite. The same task’s cost varied</w:t>
      </w:r>
      <w:r>
        <w:t xml:space="preserve"> </w:t>
      </w:r>
      <w:r>
        <w:rPr>
          <w:bCs/>
          <w:b/>
        </w:rPr>
        <w:t xml:space="preserve">15×</w:t>
      </w:r>
      <w:r>
        <w:t xml:space="preserve"> </w:t>
      </w:r>
      <w:r>
        <w:t xml:space="preserve">by model mix—strong evidence that orchestration needs cost-aware routing, not just more agents.</w:t>
      </w:r>
      <w:r>
        <w:t xml:space="preserve"> </w:t>
      </w:r>
      <w:hyperlink r:id="rId23">
        <w:r>
          <w:rPr>
            <w:rStyle w:val="Hyperlink"/>
          </w:rPr>
          <w:t xml:space="preserve">Read Cursor’s analysis</w:t>
        </w:r>
      </w:hyperlink>
      <w:r>
        <w:t xml:space="preserve">. [5, 6]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Open Agent Teams:</w:t>
      </w:r>
      <w:r>
        <w:t xml:space="preserve"> </w:t>
      </w:r>
      <w:r>
        <w:t xml:space="preserve">AI Jason released an open skill in the AI Build Club repo that wraps TMUX-based multi-agent control behind start, send, wait, peek, and result operations. It supports parallel sessions and demonstrates recovery when an agent gets blocked by an interactive prompt. [1]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Orca:</w:t>
      </w:r>
      <w:r>
        <w:t xml:space="preserve"> </w:t>
      </w:r>
      <w:r>
        <w:t xml:space="preserve">presented as a packaged, open-source alternative to hand-rolled orchestration: built-in CLI orchestration, a session hierarchy view, Kanban, and token tracking. [1]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Cursor context compaction:</w:t>
      </w:r>
      <w:r>
        <w:t xml:space="preserve"> </w:t>
      </w:r>
      <w:r>
        <w:t xml:space="preserve">Kent C. Dodds says Cursor’s compaction optimizations are why he does not encounter a</w:t>
      </w:r>
      <w:r>
        <w:t xml:space="preserve"> </w:t>
      </w:r>
      <w:r>
        <w:t xml:space="preserve">“</w:t>
      </w:r>
      <w:r>
        <w:t xml:space="preserve">dumb zone,</w:t>
      </w:r>
      <w:r>
        <w:t xml:space="preserve">”</w:t>
      </w:r>
      <w:r>
        <w:t xml:space="preserve"> </w:t>
      </w:r>
      <w:r>
        <w:t xml:space="preserve">and argues that model-context babysitting should be automated rather than handled manually. [7]</w:t>
      </w:r>
    </w:p>
    <w:bookmarkEnd w:id="24"/>
    <w:bookmarkStart w:id="41" w:name="go-deeper"/>
    <w:p>
      <w:pPr>
        <w:pStyle w:val="Heading2"/>
      </w:pPr>
      <w:r>
        <w:t xml:space="preserve">🎬 GO DEEPER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2:02–3:02 — Persistent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sidekick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workers.</w:t>
      </w:r>
      <w:r>
        <w:t xml:space="preserve"> </w:t>
      </w:r>
      <w:r>
        <w:t xml:space="preserve">A compact walkthrough of why follow-up work should return to the same agent session: the session keeps its task context rather than spending tokens reconstructing it. [1]</w:t>
      </w:r>
      <w:r>
        <w:t xml:space="preserve"> </w:t>
      </w:r>
      <w:hyperlink r:id="rId28">
        <w:r>
          <w:drawing>
            <wp:inline>
              <wp:extent cx="5334000" cy="4000500"/>
              <wp:effectExtent b="0" l="0" r="0" t="0"/>
              <wp:docPr descr="Tmux + Fable = Cut 35% less token" title="" id="26" name="Picture"/>
              <a:graphic>
                <a:graphicData uri="http://schemas.openxmlformats.org/drawingml/2006/picture">
                  <pic:pic>
                    <pic:nvPicPr>
                      <pic:cNvPr descr="https://img.youtube.com/vi/wCSPgHpcxdc/hqdefault.jpg" id="27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Tmux + Fable = Cut 35% less token (2:01)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26:09–26:35 — How Anthropic uses Claude Code internally.</w:t>
      </w:r>
      <w:r>
        <w:t xml:space="preserve"> </w:t>
      </w:r>
      <w:r>
        <w:t xml:space="preserve">Boris Cherny says all of his code has been written with Claude Code since the previous November, and estimates Claude Code usage at about 90% across Anthropic; useful firsthand context for the shift toward many concurrent agent sessions. [2]</w:t>
      </w:r>
      <w:r>
        <w:t xml:space="preserve"> </w:t>
      </w:r>
      <w:hyperlink r:id="rId32">
        <w:r>
          <w:drawing>
            <wp:inline>
              <wp:extent cx="5334000" cy="4000500"/>
              <wp:effectExtent b="0" l="0" r="0" t="0"/>
              <wp:docPr descr="The Creator of Claude Code on The Hottest Piece of Software in the World | Odd Lots" title="" id="30" name="Picture"/>
              <a:graphic>
                <a:graphicData uri="http://schemas.openxmlformats.org/drawingml/2006/picture">
                  <pic:pic>
                    <pic:nvPicPr>
                      <pic:cNvPr descr="https://img.youtube.com/vi/7C_IHWkHKmU/hqdefault.jpg" id="3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Creator of Claude Code on The Hottest Piece of Software in the World | Odd Lots (26:09)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Study the Kody capability guide before committing to an automation stack.</w:t>
      </w:r>
      <w:r>
        <w:t xml:space="preserve"> </w:t>
      </w:r>
      <w:r>
        <w:t xml:space="preserve">The discovery prompt above is intentionally structured to surface recurring manual work, rank ideas by payoff versus setup effort, and avoid premature configuration. [3]</w:t>
      </w:r>
    </w:p>
    <w:p>
      <w:pPr>
        <w:pStyle w:val="FirstParagraph"/>
      </w:pPr>
      <w:r>
        <w:rPr>
          <w:iCs/>
          <w:i/>
        </w:rPr>
        <w:t xml:space="preserve">Editorial take: the durable edge is not maximizing agent count—it is preserving context in persistent workers, enforcing clear delegation boundaries, and routing work with cost in view.</w:t>
      </w:r>
      <w:r>
        <w:t xml:space="preserve"> </w:t>
      </w:r>
      <w:r>
        <w:t xml:space="preserve">[1, 5]</w:t>
      </w:r>
    </w:p>
    <w:p>
      <w:r>
        <w:pict>
          <v:rect style="width:0;height:1.5pt" o:hralign="center" o:hrstd="t" o:hr="t"/>
        </w:pict>
      </w:r>
    </w:p>
    <w:bookmarkStart w:id="4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Tmux + Fable = Cut 35% less token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The Creator of Claude Code on The Hottest Piece of Software in the World | Odd Lots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This $12 billion startup finally shipped something…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@kentcdodds</w:t>
        </w:r>
      </w:hyperlink>
    </w:p>
    <w:bookmarkEnd w:id="40"/>
    <w:bookmarkEnd w:id="41"/>
    <w:bookmarkEnd w:id="4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9" Target="media/rId29.jpg" /><Relationship Type="http://schemas.openxmlformats.org/officeDocument/2006/relationships/image" Id="rId25" Target="media/rId25.jpg" /><Relationship Type="http://schemas.openxmlformats.org/officeDocument/2006/relationships/hyperlink" Id="rId23" Target="https://cursor.com/blog/agent-swarm-model-economics" TargetMode="External" /><Relationship Type="http://schemas.openxmlformats.org/officeDocument/2006/relationships/hyperlink" Id="rId21" Target="https://github.com/kentcdodds/kody/blob/main/docs/use/what-can-kody-do.md" TargetMode="External" /><Relationship Type="http://schemas.openxmlformats.org/officeDocument/2006/relationships/hyperlink" Id="rId34" Target="https://www.youtube.com/watch?v=7C_IHWkHKmU" TargetMode="External" /><Relationship Type="http://schemas.openxmlformats.org/officeDocument/2006/relationships/hyperlink" Id="rId36" Target="https://www.youtube.com/watch?v=M51asSwRLxA" TargetMode="External" /><Relationship Type="http://schemas.openxmlformats.org/officeDocument/2006/relationships/hyperlink" Id="rId33" Target="https://www.youtube.com/watch?v=wCSPgHpcxdc" TargetMode="External" /><Relationship Type="http://schemas.openxmlformats.org/officeDocument/2006/relationships/hyperlink" Id="rId37" Target="https://x.com/cursor_ai/status/2079256614238814551" TargetMode="External" /><Relationship Type="http://schemas.openxmlformats.org/officeDocument/2006/relationships/hyperlink" Id="rId38" Target="https://x.com/cursor_ai/status/2079256616407273801" TargetMode="External" /><Relationship Type="http://schemas.openxmlformats.org/officeDocument/2006/relationships/hyperlink" Id="rId35" Target="https://x.com/kentcdodds/status/2079258567211876638" TargetMode="External" /><Relationship Type="http://schemas.openxmlformats.org/officeDocument/2006/relationships/hyperlink" Id="rId39" Target="https://x.com/kentcdodds/status/2079331313975529666" TargetMode="External" /><Relationship Type="http://schemas.openxmlformats.org/officeDocument/2006/relationships/hyperlink" Id="rId32" Target="https://youtube.com/watch?v=7C_IHWkHKmU&amp;t=1569" TargetMode="External" /><Relationship Type="http://schemas.openxmlformats.org/officeDocument/2006/relationships/hyperlink" Id="rId28" Target="https://youtube.com/watch?v=wCSPgHpcxdc&amp;t=12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s://cursor.com/blog/agent-swarm-model-economics" TargetMode="External" /><Relationship Type="http://schemas.openxmlformats.org/officeDocument/2006/relationships/hyperlink" Id="rId21" Target="https://github.com/kentcdodds/kody/blob/main/docs/use/what-can-kody-do.md" TargetMode="External" /><Relationship Type="http://schemas.openxmlformats.org/officeDocument/2006/relationships/hyperlink" Id="rId34" Target="https://www.youtube.com/watch?v=7C_IHWkHKmU" TargetMode="External" /><Relationship Type="http://schemas.openxmlformats.org/officeDocument/2006/relationships/hyperlink" Id="rId36" Target="https://www.youtube.com/watch?v=M51asSwRLxA" TargetMode="External" /><Relationship Type="http://schemas.openxmlformats.org/officeDocument/2006/relationships/hyperlink" Id="rId33" Target="https://www.youtube.com/watch?v=wCSPgHpcxdc" TargetMode="External" /><Relationship Type="http://schemas.openxmlformats.org/officeDocument/2006/relationships/hyperlink" Id="rId37" Target="https://x.com/cursor_ai/status/2079256614238814551" TargetMode="External" /><Relationship Type="http://schemas.openxmlformats.org/officeDocument/2006/relationships/hyperlink" Id="rId38" Target="https://x.com/cursor_ai/status/2079256616407273801" TargetMode="External" /><Relationship Type="http://schemas.openxmlformats.org/officeDocument/2006/relationships/hyperlink" Id="rId35" Target="https://x.com/kentcdodds/status/2079258567211876638" TargetMode="External" /><Relationship Type="http://schemas.openxmlformats.org/officeDocument/2006/relationships/hyperlink" Id="rId39" Target="https://x.com/kentcdodds/status/2079331313975529666" TargetMode="External" /><Relationship Type="http://schemas.openxmlformats.org/officeDocument/2006/relationships/hyperlink" Id="rId32" Target="https://youtube.com/watch?v=7C_IHWkHKmU&amp;t=1569" TargetMode="External" /><Relationship Type="http://schemas.openxmlformats.org/officeDocument/2006/relationships/hyperlink" Id="rId28" Target="https://youtube.com/watch?v=wCSPgHpcxdc&amp;t=12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Persistent Sessions, Explicit Delegation, and 15× Agent Costs</dc:title>
  <dc:creator>Coding Agents Alpha Tracker</dc:creator>
  <cp:keywords/>
  <dcterms:created xsi:type="dcterms:W3CDTF">2026-07-21T22:06:58Z</dcterms:created>
  <dcterms:modified xsi:type="dcterms:W3CDTF">2026-07-21T22:06:58Z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2026-07-21</vt:lpwstr>
  </property>
</Properties>
</file>