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Persistent Specs and Auditable Outputs for Coding Agents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2026-07-27</w:t>
      </w:r>
    </w:p>
    <w:bookmarkStart w:id="36" w:name="Xb7964b185e24d381ef328cb0966f70b81f3af53"/>
    <w:p>
      <w:pPr>
        <w:pStyle w:val="Heading1"/>
      </w:pPr>
      <w:r>
        <w:t xml:space="preserve">Persistent Specs and Auditable Outputs for Coding Agents</w:t>
      </w:r>
    </w:p>
    <w:p>
      <w:pPr>
        <w:pStyle w:val="FirstParagraph"/>
      </w:pPr>
      <w:r>
        <w:rPr>
          <w:iCs/>
          <w:i/>
        </w:rPr>
        <w:t xml:space="preserve">By Coding Agents Alpha Tracker • July 27, 2026</w:t>
      </w:r>
    </w:p>
    <w:p>
      <w:pPr>
        <w:pStyle w:val="BodyText"/>
      </w:pPr>
      <w:r>
        <w:t xml:space="preserve">Persistent project context is the day’s strongest coding-agent pattern: use agent-readable design rules to prevent UI drift, then apply the same auditability to financial models and task planning. Also covered: a cleanup pass for over-eager code changes and Claude Code/Codex packaging differences.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Give the agent a persistent design spec, not just tokens.</w:t>
      </w:r>
      <w:r>
        <w:t xml:space="preserve"> </w:t>
      </w:r>
      <w:r>
        <w:t xml:space="preserve">AI For Developers frames inconsistent agent-generated UI across sessions as a context problem: without retained visual rules, agents fall back to generic defaults. A root-level</w:t>
      </w:r>
      <w:r>
        <w:t xml:space="preserve"> </w:t>
      </w:r>
      <w:r>
        <w:rPr>
          <w:rStyle w:val="VerbatimChar"/>
        </w:rPr>
        <w:t xml:space="preserve">DESIGN.md</w:t>
      </w:r>
      <w:r>
        <w:t xml:space="preserve">, explicitly loaded from</w:t>
      </w:r>
      <w:r>
        <w:t xml:space="preserve"> </w:t>
      </w:r>
      <w:r>
        <w:rPr>
          <w:rStyle w:val="VerbatimChar"/>
        </w:rPr>
        <w:t xml:space="preserve">CLAUDE.md</w:t>
      </w:r>
      <w:r>
        <w:t xml:space="preserve">, gives the agent reusable rules for visual roles, component states, layout, and prohibited patterns. [1]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Add durable visual memory to a coding-agent repo.</w:t>
      </w:r>
      <w:r>
        <w:t xml:space="preserve"> </w:t>
      </w:r>
      <w:r>
        <w:t xml:space="preserve">Create</w:t>
      </w:r>
      <w:r>
        <w:t xml:space="preserve"> </w:t>
      </w:r>
      <w:r>
        <w:rPr>
          <w:rStyle w:val="VerbatimChar"/>
        </w:rPr>
        <w:t xml:space="preserve">DESIGN.md</w:t>
      </w:r>
      <w:r>
        <w:t xml:space="preserve"> </w:t>
      </w:r>
      <w:r>
        <w:t xml:space="preserve">at the project root, then add a visual-rules section to</w:t>
      </w:r>
      <w:r>
        <w:t xml:space="preserve"> </w:t>
      </w:r>
      <w:r>
        <w:rPr>
          <w:rStyle w:val="VerbatimChar"/>
        </w:rPr>
        <w:t xml:space="preserve">CLAUDE.md</w:t>
      </w:r>
      <w:r>
        <w:t xml:space="preserve"> </w:t>
      </w:r>
      <w:r>
        <w:t xml:space="preserve">that requires the agent to read and follow it before generating UI. Define color</w:t>
      </w:r>
      <w:r>
        <w:t xml:space="preserve"> </w:t>
      </w:r>
      <w:r>
        <w:rPr>
          <w:iCs/>
          <w:i/>
        </w:rPr>
        <w:t xml:space="preserve">roles</w:t>
      </w:r>
      <w:r>
        <w:t xml:space="preserve">, typography hierarchy, component states, spacing, elevation, responsive behavior, and explicit do/don’t rules—not merely hex values and font names. [1]</w:t>
      </w:r>
    </w:p>
    <w:p>
      <w:pPr>
        <w:numPr>
          <w:ilvl w:val="0"/>
          <w:numId w:val="1000"/>
        </w:numPr>
        <w:pStyle w:val="BlockText"/>
      </w:pPr>
      <w:r>
        <w:rPr>
          <w:rStyle w:val="VerbatimChar"/>
        </w:rPr>
        <w:t xml:space="preserve">Follow the rules defined in @DESIGN.md strictly for all UI generation.</w:t>
      </w:r>
      <w:r>
        <w:t xml:space="preserve"> </w:t>
      </w:r>
      <w:r>
        <w:t xml:space="preserve">[1]</w:t>
      </w:r>
    </w:p>
    <w:p>
      <w:pPr>
        <w:numPr>
          <w:ilvl w:val="0"/>
          <w:numId w:val="1000"/>
        </w:numPr>
      </w:pPr>
      <w:r>
        <w:t xml:space="preserve">A useful constraint style is semantic:</w:t>
      </w:r>
      <w:r>
        <w:t xml:space="preserve"> </w:t>
      </w:r>
      <w:r>
        <w:t xml:space="preserve">“</w:t>
      </w:r>
      <w:r>
        <w:t xml:space="preserve">brand-primary is for CTAs and links only—never backgrounds, never dividers.</w:t>
      </w:r>
      <w:r>
        <w:t xml:space="preserve">”</w:t>
      </w:r>
      <w:r>
        <w:t xml:space="preserve"> </w:t>
      </w:r>
      <w:r>
        <w:t xml:space="preserve">[1] Start by asking for one button and one card before handing the agent a full screen; this exposes underspecified rules early.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research-generated spreadsheets auditable.</w:t>
      </w:r>
      <w:r>
        <w:t xml:space="preserve"> </w:t>
      </w:r>
      <w:r>
        <w:t xml:space="preserve">Riley Brown shared a Claude Excel + Opus 5 workflow: constrain web research to named primary sources, then require a Sources tab with URLs, filing dates, reporting periods, page numbers, and retrieval dates. Separate assumptions from three years of historical statements; build forecasts with live formulas, supporting schedules, a DCF sensitivity table, checks, and an executive dashboard. [2]</w:t>
      </w:r>
    </w:p>
    <w:p>
      <w:pPr>
        <w:numPr>
          <w:ilvl w:val="0"/>
          <w:numId w:val="1000"/>
        </w:numPr>
        <w:pStyle w:val="BlockText"/>
      </w:pPr>
      <w:r>
        <w:rPr>
          <w:rStyle w:val="VerbatimChar"/>
        </w:rPr>
        <w:t xml:space="preserve">Never invent a missing figure—mark it as unavailable and explain the gap.</w:t>
      </w:r>
      <w:r>
        <w:t xml:space="preserve"> </w:t>
      </w:r>
      <w:r>
        <w:t xml:space="preserve">[2]</w:t>
      </w:r>
    </w:p>
    <w:p>
      <w:pPr>
        <w:numPr>
          <w:ilvl w:val="0"/>
          <w:numId w:val="1000"/>
        </w:numPr>
      </w:pPr>
      <w:r>
        <w:t xml:space="preserve">Brown reports that this single-prompt NVIDIA analysis ran research for 37 minutes and generated a linked workbook. [3, 2]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Turn brainstorms into an executable backlog.</w:t>
      </w:r>
      <w:r>
        <w:t xml:space="preserve"> </w:t>
      </w:r>
      <w:r>
        <w:t xml:space="preserve">After a planning conversation produces markdown notes, send the conversation to Linear through its MCP integration and have it generate the actionable ticket set. For daily prioritization, ask the agent:</w:t>
      </w:r>
      <w:r>
        <w:t xml:space="preserve"> </w:t>
      </w:r>
      <w:r>
        <w:t xml:space="preserve">“</w:t>
      </w:r>
      <w:r>
        <w:t xml:space="preserve">go to LINEAR and tell me what I need to do next.</w:t>
      </w:r>
      <w:r>
        <w:t xml:space="preserve">”</w:t>
      </w:r>
      <w:r>
        <w:t xml:space="preserve"> </w:t>
      </w:r>
      <w:r>
        <w:t xml:space="preserve">ThePrimeTime’s host describes using this to convert ideas into tickets and choose the next task. [4]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Add a scope-trimming pass after high-initiative coding.</w:t>
      </w:r>
      <w:r>
        <w:t xml:space="preserve"> </w:t>
      </w:r>
      <w:r>
        <w:t xml:space="preserve">Theo reports that Claude Opus can notice adjacent issues and add roughly 100 lines of fixes plus 200 lines of tests; he often brings in Fable to trim the resulting excess. Treat the cleanup pass as a separate review step: retain only changes necessary to the requested outcome. [5]</w:t>
      </w:r>
    </w:p>
    <w:bookmarkEnd w:id="21"/>
    <w:bookmarkStart w:id="22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Claude Excel extension: practical modeling signal.</w:t>
      </w:r>
      <w:r>
        <w:t xml:space="preserve"> </w:t>
      </w:r>
      <w:r>
        <w:t xml:space="preserve">Riley Brown is testing Claude’s Excel extension with Opus 5 and shared a detailed, source-constrained financial-model prompt—not a generic spreadsheet request. The notable pattern is the required provenance, formula-only derived values, visible input/formula formatting, and explicit data-gap warnings. [3, 2]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Claude Code vs. Codex: different subscription trade-offs.</w:t>
      </w:r>
      <w:r>
        <w:t xml:space="preserve"> </w:t>
      </w:r>
      <w:r>
        <w:t xml:space="preserve">Theo notes both offer fast mode and support context windows up to 1M tokens on their best models. His comparison: Claude Code includes 1M context in the base subscription but charges extra for fast mode; Codex includes fast mode but charges extra for higher context windows. He considers the distinction interesting but not especially consequential. [6]</w:t>
      </w:r>
    </w:p>
    <w:bookmarkEnd w:id="22"/>
    <w:bookmarkStart w:id="35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02:54–03:10 — Linear MCP as a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what next?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layer.</w:t>
      </w:r>
      <w:r>
        <w:t xml:space="preserve"> </w:t>
      </w:r>
      <w:r>
        <w:t xml:space="preserve">A short workflow demo: turn a large planning conversation into tickets, then let the agent query Linear when you need the next concrete task. [4]</w:t>
      </w:r>
      <w:r>
        <w:t xml:space="preserve"> </w:t>
      </w:r>
      <w:hyperlink r:id="rId26">
        <w:r>
          <w:drawing>
            <wp:inline>
              <wp:extent cx="5334000" cy="4000500"/>
              <wp:effectExtent b="0" l="0" r="0" t="0"/>
              <wp:docPr descr="Open Sauce 2026 | TheStandup" title="" id="24" name="Picture"/>
              <a:graphic>
                <a:graphicData uri="http://schemas.openxmlformats.org/drawingml/2006/picture">
                  <pic:pic>
                    <pic:nvPicPr>
                      <pic:cNvPr descr="https://img.youtube.com/vi/gf8OAHsQqxI/hqdefault.jpg" id="25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Open Sauce 2026 | TheStandup (2:54)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Repo to study:</w:t>
      </w:r>
      <w:r>
        <w:rPr>
          <w:bCs/>
          <w:b/>
        </w:rPr>
        <w:t xml:space="preserve"> </w:t>
      </w:r>
      <w:hyperlink r:id="rId27">
        <w:r>
          <w:rPr>
            <w:rStyle w:val="Hyperlink"/>
            <w:bCs/>
            <w:b/>
          </w:rPr>
          <w:t xml:space="preserve">awesome-design-md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This community library collects pre-written</w:t>
      </w:r>
      <w:r>
        <w:t xml:space="preserve"> </w:t>
      </w:r>
      <w:r>
        <w:rPr>
          <w:rStyle w:val="VerbatimChar"/>
        </w:rPr>
        <w:t xml:space="preserve">DESIGN.md</w:t>
      </w:r>
      <w:r>
        <w:t xml:space="preserve"> </w:t>
      </w:r>
      <w:r>
        <w:t xml:space="preserve">files modeled on products including Linear, Stripe, Vercel, and Notion, with HTML previews. Use it as a reference for the sections and specificity an agent-readable visual spec needs. [1]</w:t>
      </w:r>
    </w:p>
    <w:p>
      <w:pPr>
        <w:pStyle w:val="FirstParagraph"/>
      </w:pPr>
      <w:r>
        <w:rPr>
          <w:iCs/>
          <w:i/>
        </w:rPr>
        <w:t xml:space="preserve">Editorial take: the strongest agent workflows make constraints durable and inspectable—whether the artifact is a UI spec, a cited spreadsheet model, or a ticket backlog.</w:t>
      </w:r>
      <w:r>
        <w:t xml:space="preserve"> </w:t>
      </w:r>
      <w:r>
        <w:t xml:space="preserve">[1, 2, 4]</w:t>
      </w:r>
    </w:p>
    <w:p>
      <w:r>
        <w:pict>
          <v:rect style="width:0;height:1.5pt" o:hralign="center" o:hrstd="t" o:hr="t"/>
        </w:pict>
      </w:r>
    </w:p>
    <w:bookmarkStart w:id="3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8">
        <w:r>
          <w:rPr>
            <w:rStyle w:val="Hyperlink"/>
          </w:rPr>
          <w:t xml:space="preserve">DESIGN.md for Design in Claude Code</w:t>
        </w:r>
      </w:hyperlink>
    </w:p>
    <w:p>
      <w:pPr>
        <w:numPr>
          <w:ilvl w:val="0"/>
          <w:numId w:val="1004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@rileybrown</w:t>
        </w:r>
      </w:hyperlink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@rileybrown</w:t>
        </w:r>
      </w:hyperlink>
    </w:p>
    <w:p>
      <w:pPr>
        <w:numPr>
          <w:ilvl w:val="0"/>
          <w:numId w:val="1004"/>
        </w:numPr>
        <w:pStyle w:val="Compact"/>
      </w:pPr>
      <w:hyperlink r:id="rId31">
        <w:r>
          <w:rPr>
            <w:rStyle w:val="Hyperlink"/>
          </w:rPr>
          <w:t xml:space="preserve">Open Sauce 2026 | TheStandup</w:t>
        </w:r>
      </w:hyperlink>
    </w:p>
    <w:p>
      <w:pPr>
        <w:numPr>
          <w:ilvl w:val="0"/>
          <w:numId w:val="1004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hyperlink" Id="rId28" Target="https://aifordevelopers.substack.com/p/designmd-for-design-in-claude-code" TargetMode="External" /><Relationship Type="http://schemas.openxmlformats.org/officeDocument/2006/relationships/hyperlink" Id="rId27" Target="https://github.com/VoltAgent/awesome-design-md" TargetMode="External" /><Relationship Type="http://schemas.openxmlformats.org/officeDocument/2006/relationships/hyperlink" Id="rId31" Target="https://www.youtube.com/watch?v=gf8OAHsQqxI" TargetMode="External" /><Relationship Type="http://schemas.openxmlformats.org/officeDocument/2006/relationships/hyperlink" Id="rId30" Target="https://x.com/rileybrown/status/2081421165113880978" TargetMode="External" /><Relationship Type="http://schemas.openxmlformats.org/officeDocument/2006/relationships/hyperlink" Id="rId29" Target="https://x.com/rileybrown/status/2081421166825111572" TargetMode="External" /><Relationship Type="http://schemas.openxmlformats.org/officeDocument/2006/relationships/hyperlink" Id="rId33" Target="https://x.com/theo/status/2081549009731420566" TargetMode="External" /><Relationship Type="http://schemas.openxmlformats.org/officeDocument/2006/relationships/hyperlink" Id="rId32" Target="https://x.com/theo/status/2081551375985709139" TargetMode="External" /><Relationship Type="http://schemas.openxmlformats.org/officeDocument/2006/relationships/hyperlink" Id="rId26" Target="https://youtube.com/watch?v=gf8OAHsQqxI&amp;t=17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aifordevelopers.substack.com/p/designmd-for-design-in-claude-code" TargetMode="External" /><Relationship Type="http://schemas.openxmlformats.org/officeDocument/2006/relationships/hyperlink" Id="rId27" Target="https://github.com/VoltAgent/awesome-design-md" TargetMode="External" /><Relationship Type="http://schemas.openxmlformats.org/officeDocument/2006/relationships/hyperlink" Id="rId31" Target="https://www.youtube.com/watch?v=gf8OAHsQqxI" TargetMode="External" /><Relationship Type="http://schemas.openxmlformats.org/officeDocument/2006/relationships/hyperlink" Id="rId30" Target="https://x.com/rileybrown/status/2081421165113880978" TargetMode="External" /><Relationship Type="http://schemas.openxmlformats.org/officeDocument/2006/relationships/hyperlink" Id="rId29" Target="https://x.com/rileybrown/status/2081421166825111572" TargetMode="External" /><Relationship Type="http://schemas.openxmlformats.org/officeDocument/2006/relationships/hyperlink" Id="rId33" Target="https://x.com/theo/status/2081549009731420566" TargetMode="External" /><Relationship Type="http://schemas.openxmlformats.org/officeDocument/2006/relationships/hyperlink" Id="rId32" Target="https://x.com/theo/status/2081551375985709139" TargetMode="External" /><Relationship Type="http://schemas.openxmlformats.org/officeDocument/2006/relationships/hyperlink" Id="rId26" Target="https://youtube.com/watch?v=gf8OAHsQqxI&amp;t=17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Persistent Specs and Auditable Outputs for Coding Agents</dc:title>
  <dc:creator>Coding Agents Alpha Tracker</dc:creator>
  <cp:keywords/>
  <dcterms:created xsi:type="dcterms:W3CDTF">2026-07-27T22:28:41Z</dcterms:created>
  <dcterms:modified xsi:type="dcterms:W3CDTF">2026-07-27T22:28:41Z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2026-07-27</vt:lpwstr>
  </property>
</Properties>
</file>