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Pre-plant drought signals, Turkey support payments, and practical farm-tech + livestock playbooks</w:t>
      </w:r>
    </w:p>
    <w:p>
      <w:pPr>
        <w:pStyle w:val="Author"/>
      </w:pPr>
      <w:r>
        <w:t xml:space="preserve">Global Agricultural Developments</w:t>
      </w:r>
    </w:p>
    <w:p>
      <w:pPr>
        <w:pStyle w:val="Date"/>
      </w:pPr>
      <w:r>
        <w:t xml:space="preserve">2026-03-02</w:t>
      </w:r>
    </w:p>
    <w:bookmarkStart w:id="95" w:name="X2744ef7fc9fac413f8af0c0462209e6816ca11f"/>
    <w:p>
      <w:pPr>
        <w:pStyle w:val="Heading1"/>
      </w:pPr>
      <w:r>
        <w:t xml:space="preserve">Pre-plant drought signals, Turkey support payments, and practical farm-tech + livestock playbooks</w:t>
      </w:r>
    </w:p>
    <w:p>
      <w:pPr>
        <w:pStyle w:val="FirstParagraph"/>
      </w:pPr>
      <w:r>
        <w:rPr>
          <w:iCs/>
          <w:i/>
        </w:rPr>
        <w:t xml:space="preserve">By Global Agricultural Developments • March 2, 2026</w:t>
      </w:r>
    </w:p>
    <w:p>
      <w:pPr>
        <w:pStyle w:val="BodyText"/>
      </w:pPr>
      <w:r>
        <w:t xml:space="preserve">Pre-plant signals and seasonal planning dominate this cycle: a U.S. corn drought snapshot ahead of spring planting, and Turkey’s March 6–20 support-payment window framed as timely for field preparation. Also included: practical farm-tech tools (local-first agronomy AI, sensor-integrated garden logging), measured specialty-crop results from China, and livestock/poultry feeding and stocking techniques with concrete densities, costs, and formulations.</w:t>
      </w:r>
    </w:p>
    <w:bookmarkStart w:id="25" w:name="market-movers"/>
    <w:p>
      <w:pPr>
        <w:pStyle w:val="Heading2"/>
      </w:pPr>
      <w:r>
        <w:t xml:space="preserve">1) Market Movers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U.S. corn (pre-plant weather signal):</w:t>
      </w:r>
      <w:r>
        <w:t xml:space="preserve"> </w:t>
      </w:r>
      <w:r>
        <w:t xml:space="preserve">GrainStats shared a</w:t>
      </w:r>
      <w:r>
        <w:t xml:space="preserve"> </w:t>
      </w:r>
      <w:r>
        <w:rPr>
          <w:bCs/>
          <w:b/>
        </w:rPr>
        <w:t xml:space="preserve">U.S. Corn Drought Monitor</w:t>
      </w:r>
      <w:r>
        <w:t xml:space="preserve"> </w:t>
      </w:r>
      <w:r>
        <w:t xml:space="preserve">snapshot showing conditions</w:t>
      </w:r>
      <w:r>
        <w:t xml:space="preserve"> </w:t>
      </w:r>
      <w:r>
        <w:rPr>
          <w:iCs/>
          <w:i/>
        </w:rPr>
        <w:t xml:space="preserve">before</w:t>
      </w:r>
      <w:r>
        <w:t xml:space="preserve"> </w:t>
      </w:r>
      <w:r>
        <w:t xml:space="preserve">farmers start planting this spring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Turkey (producer cashflow ahead of spring fieldwork):</w:t>
      </w:r>
      <w:r>
        <w:t xml:space="preserve"> </w:t>
      </w:r>
      <w:r>
        <w:t xml:space="preserve">Agricultural support payments (formerly</w:t>
      </w:r>
      <w:r>
        <w:t xml:space="preserve"> </w:t>
      </w:r>
      <w:r>
        <w:rPr>
          <w:iCs/>
          <w:i/>
        </w:rPr>
        <w:t xml:space="preserve">Mazot ve Gübre Desteği</w:t>
      </w:r>
      <w:r>
        <w:t xml:space="preserve">, now</w:t>
      </w:r>
      <w:r>
        <w:t xml:space="preserve"> </w:t>
      </w:r>
      <w:r>
        <w:rPr>
          <w:iCs/>
          <w:i/>
        </w:rPr>
        <w:t xml:space="preserve">Temel ve Planlı Üretim Desteği</w:t>
      </w:r>
      <w:r>
        <w:t xml:space="preserve">) are scheduled to</w:t>
      </w:r>
      <w:r>
        <w:t xml:space="preserve"> </w:t>
      </w:r>
      <w:r>
        <w:rPr>
          <w:bCs/>
          <w:b/>
        </w:rPr>
        <w:t xml:space="preserve">start March 6</w:t>
      </w:r>
      <w:r>
        <w:t xml:space="preserve"> </w:t>
      </w:r>
      <w:r>
        <w:t xml:space="preserve">with final payments</w:t>
      </w:r>
      <w:r>
        <w:t xml:space="preserve"> </w:t>
      </w:r>
      <w:r>
        <w:rPr>
          <w:bCs/>
          <w:b/>
        </w:rPr>
        <w:t xml:space="preserve">by March 20</w:t>
      </w:r>
      <w:r>
        <w:t xml:space="preserve"> </w:t>
      </w:r>
      <w:r>
        <w:t xml:space="preserve">(by farmers’ TC numbers)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. The post frames these payments as timely for farmers beginning spring field preparations, and notes completion before Ramadan Bayram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.</w:t>
      </w:r>
    </w:p>
    <w:bookmarkEnd w:id="25"/>
    <w:bookmarkStart w:id="44" w:name="innovation-spotlight"/>
    <w:p>
      <w:pPr>
        <w:pStyle w:val="Heading2"/>
      </w:pPr>
      <w:r>
        <w:t xml:space="preserve">2) Innovation Spotlight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Local-first agronomy AI workspace (decision support + data ownership):</w:t>
      </w:r>
      <w:r>
        <w:t xml:space="preserve"> </w:t>
      </w:r>
      <w:r>
        <w:t xml:space="preserve">ZarSage AI is described as a</w:t>
      </w:r>
      <w:r>
        <w:t xml:space="preserve"> </w:t>
      </w:r>
      <w:r>
        <w:rPr>
          <w:bCs/>
          <w:b/>
        </w:rPr>
        <w:t xml:space="preserve">local-first</w:t>
      </w:r>
      <w:r>
        <w:t xml:space="preserve"> </w:t>
      </w:r>
      <w:r>
        <w:t xml:space="preserve">agronomy workspace that runs on the user’s machine, bringing together soil lab data, decades of field-level weather history, field maps, and operational data—paired with</w:t>
      </w:r>
      <w:r>
        <w:t xml:space="preserve"> </w:t>
      </w:r>
      <w:r>
        <w:rPr>
          <w:bCs/>
          <w:b/>
        </w:rPr>
        <w:t xml:space="preserve">structured AI reasoning</w:t>
      </w:r>
      <w:r>
        <w:t xml:space="preserve"> </w:t>
      </w:r>
      <w:r>
        <w:t xml:space="preserve">meant to support agronomists and commercial growers (not replace them)</w:t>
      </w:r>
      <w:r>
        <w:t xml:space="preserve"> </w:t>
      </w:r>
      <w:r>
        <w:rPr>
          <w:rStyle w:val="FootnoteReference"/>
        </w:rPr>
        <w:footnoteReference w:id="26"/>
      </w:r>
      <w:r>
        <w:t xml:space="preserve">. The team is offering early access and explicitly asking agronomists/consultants/growers for workflow feedback and tool pain points</w:t>
      </w:r>
      <w:r>
        <w:t xml:space="preserve"> </w:t>
      </w:r>
      <w:r>
        <w:rPr>
          <w:rStyle w:val="FootnoteReference"/>
        </w:rPr>
        <w:footnoteReference w:id="28"/>
      </w:r>
      <w:r>
        <w:t xml:space="preserve">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“</w:t>
      </w:r>
      <w:r>
        <w:rPr>
          <w:bCs/>
          <w:b/>
        </w:rPr>
        <w:t xml:space="preserve">Plant Anywhere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gardening companion (sensors + diagnostics, one-time price):</w:t>
      </w:r>
      <w:r>
        <w:t xml:space="preserve"> </w:t>
      </w:r>
      <w:r>
        <w:t xml:space="preserve">A homesteading-focused app highlights:</w:t>
      </w:r>
    </w:p>
    <w:p>
      <w:pPr>
        <w:numPr>
          <w:ilvl w:val="1"/>
          <w:numId w:val="1003"/>
        </w:numPr>
        <w:pStyle w:val="Compact"/>
      </w:pPr>
      <w:r>
        <w:t xml:space="preserve">A</w:t>
      </w:r>
      <w:r>
        <w:t xml:space="preserve"> </w:t>
      </w:r>
      <w:r>
        <w:rPr>
          <w:bCs/>
          <w:b/>
        </w:rPr>
        <w:t xml:space="preserve">scale garden planner</w:t>
      </w:r>
      <w:r>
        <w:t xml:space="preserve"> </w:t>
      </w:r>
      <w:r>
        <w:t xml:space="preserve">for rows/raised beds (square-foot or free planting)</w:t>
      </w:r>
      <w:r>
        <w:t xml:space="preserve"> </w:t>
      </w:r>
      <w:r>
        <w:rPr>
          <w:rStyle w:val="FootnoteReference"/>
        </w:rPr>
        <w:footnoteReference w:id="29"/>
      </w:r>
    </w:p>
    <w:p>
      <w:pPr>
        <w:numPr>
          <w:ilvl w:val="1"/>
          <w:numId w:val="1003"/>
        </w:numPr>
        <w:pStyle w:val="Compact"/>
      </w:pPr>
      <w:r>
        <w:t xml:space="preserve">A</w:t>
      </w:r>
      <w:r>
        <w:t xml:space="preserve"> </w:t>
      </w:r>
      <w:r>
        <w:rPr>
          <w:bCs/>
          <w:b/>
        </w:rPr>
        <w:t xml:space="preserve">water audit</w:t>
      </w:r>
      <w:r>
        <w:t xml:space="preserve"> </w:t>
      </w:r>
      <w:r>
        <w:t xml:space="preserve">that calculates hydration needs based on local climate</w:t>
      </w:r>
      <w:r>
        <w:t xml:space="preserve"> </w:t>
      </w:r>
      <w:r>
        <w:rPr>
          <w:rStyle w:val="FootnoteReference"/>
        </w:rPr>
        <w:footnoteReference w:id="31"/>
      </w:r>
    </w:p>
    <w:p>
      <w:pPr>
        <w:numPr>
          <w:ilvl w:val="1"/>
          <w:numId w:val="1003"/>
        </w:numPr>
        <w:pStyle w:val="Compact"/>
      </w:pPr>
      <w:r>
        <w:rPr>
          <w:bCs/>
          <w:b/>
        </w:rPr>
        <w:t xml:space="preserve">ESP-32 webhook logging</w:t>
      </w:r>
      <w:r>
        <w:t xml:space="preserve"> </w:t>
      </w:r>
      <w:r>
        <w:t xml:space="preserve">for soil moisture, light, and temperature from DIY sensor stations</w:t>
      </w:r>
      <w:r>
        <w:t xml:space="preserve"> </w:t>
      </w:r>
      <w:r>
        <w:rPr>
          <w:rStyle w:val="FootnoteReference"/>
        </w:rPr>
        <w:footnoteReference w:id="32"/>
      </w:r>
    </w:p>
    <w:p>
      <w:pPr>
        <w:numPr>
          <w:ilvl w:val="1"/>
          <w:numId w:val="1003"/>
        </w:numPr>
        <w:pStyle w:val="Compact"/>
      </w:pPr>
      <w:r>
        <w:t xml:space="preserve">Logging for pests, diseases, fertilizer, and growth stages</w:t>
      </w:r>
      <w:r>
        <w:t xml:space="preserve"> </w:t>
      </w:r>
      <w:r>
        <w:rPr>
          <w:rStyle w:val="FootnoteReference"/>
        </w:rPr>
        <w:footnoteReference w:id="33"/>
      </w:r>
    </w:p>
    <w:p>
      <w:pPr>
        <w:numPr>
          <w:ilvl w:val="1"/>
          <w:numId w:val="1003"/>
        </w:numPr>
        <w:pStyle w:val="Compact"/>
      </w:pPr>
      <w:r>
        <w:t xml:space="preserve">Optional</w:t>
      </w:r>
      <w:r>
        <w:t xml:space="preserve"> </w:t>
      </w:r>
      <w:r>
        <w:rPr>
          <w:bCs/>
          <w:b/>
        </w:rPr>
        <w:t xml:space="preserve">thermal imaging analysis</w:t>
      </w:r>
      <w:r>
        <w:t xml:space="preserve"> </w:t>
      </w:r>
      <w:r>
        <w:t xml:space="preserve">using a FLIR attachment to detect stress early</w:t>
      </w:r>
      <w:r>
        <w:t xml:space="preserve"> </w:t>
      </w:r>
      <w:r>
        <w:rPr>
          <w:rStyle w:val="FootnoteReference"/>
        </w:rPr>
        <w:footnoteReference w:id="34"/>
      </w:r>
    </w:p>
    <w:p>
      <w:pPr>
        <w:numPr>
          <w:ilvl w:val="1"/>
          <w:numId w:val="1003"/>
        </w:numPr>
        <w:pStyle w:val="Compact"/>
      </w:pPr>
      <w:r>
        <w:rPr>
          <w:bCs/>
          <w:b/>
        </w:rPr>
        <w:t xml:space="preserve">$49.99 one-time purchase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 </w:t>
      </w:r>
      <w:r>
        <w:t xml:space="preserve">and app link: https://app.plantanywhere.net</w:t>
      </w:r>
      <w:r>
        <w:t xml:space="preserve"> </w:t>
      </w:r>
      <w:r>
        <w:rPr>
          <w:rStyle w:val="FootnoteReference"/>
        </w:rPr>
        <w:footnoteReference w:id="36"/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China: robotics + AI models positioned as on-farm enablers:</w:t>
      </w:r>
      <w:r>
        <w:t xml:space="preserve"> </w:t>
      </w:r>
      <w:r>
        <w:t xml:space="preserve">A Chinese program segment says teams have developed</w:t>
      </w:r>
      <w:r>
        <w:t xml:space="preserve"> </w:t>
      </w:r>
      <w:r>
        <w:rPr>
          <w:bCs/>
          <w:b/>
        </w:rPr>
        <w:t xml:space="preserve">100+ agricultural robots</w:t>
      </w:r>
      <w:r>
        <w:t xml:space="preserve"> </w:t>
      </w:r>
      <w:r>
        <w:t xml:space="preserve">deployed across multiple locations, and mentions a</w:t>
      </w:r>
      <w:r>
        <w:t xml:space="preserve"> </w:t>
      </w:r>
      <w:r>
        <w:rPr>
          <w:bCs/>
          <w:b/>
        </w:rPr>
        <w:t xml:space="preserve">virus recognition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large model</w:t>
      </w:r>
      <w:r>
        <w:rPr>
          <w:bCs/>
          <w:b/>
        </w:rPr>
        <w:t xml:space="preserve">”</w:t>
      </w:r>
      <w:r>
        <w:t xml:space="preserve"> </w:t>
      </w:r>
      <w:r>
        <w:t xml:space="preserve">intended to help farmers avoid</w:t>
      </w:r>
      <w:r>
        <w:t xml:space="preserve"> </w:t>
      </w:r>
      <w:r>
        <w:t xml:space="preserve">“</w:t>
      </w:r>
      <w:r>
        <w:t xml:space="preserve">blind-box</w:t>
      </w:r>
      <w:r>
        <w:t xml:space="preserve">”</w:t>
      </w:r>
      <w:r>
        <w:t xml:space="preserve"> </w:t>
      </w:r>
      <w:r>
        <w:t xml:space="preserve">seedlings</w:t>
      </w:r>
      <w:r>
        <w:t xml:space="preserve"> </w:t>
      </w:r>
      <w:r>
        <w:rPr>
          <w:rStyle w:val="FootnoteReference"/>
        </w:rPr>
        <w:footnoteReference w:id="37"/>
      </w:r>
      <w:r>
        <w:t xml:space="preserve">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Measured results on specialty production (China):</w:t>
      </w:r>
      <w:r>
        <w:t xml:space="preserve"> </w:t>
      </w:r>
      <w:r>
        <w:t xml:space="preserve">A segment reports</w:t>
      </w:r>
      <w:r>
        <w:t xml:space="preserve"> </w:t>
      </w:r>
      <w:r>
        <w:t xml:space="preserve">“</w:t>
      </w:r>
      <w:r>
        <w:t xml:space="preserve">9-level</w:t>
      </w:r>
      <w:r>
        <w:t xml:space="preserve">”</w:t>
      </w:r>
      <w:r>
        <w:t xml:space="preserve"> </w:t>
      </w:r>
      <w:r>
        <w:t xml:space="preserve">ecological strawberries reaching</w:t>
      </w:r>
      <w:r>
        <w:t xml:space="preserve"> </w:t>
      </w:r>
      <w:r>
        <w:rPr>
          <w:bCs/>
          <w:b/>
        </w:rPr>
        <w:t xml:space="preserve">3,000 jin per mu</w:t>
      </w:r>
      <w:r>
        <w:t xml:space="preserve">, after</w:t>
      </w:r>
      <w:r>
        <w:t xml:space="preserve"> </w:t>
      </w:r>
      <w:r>
        <w:rPr>
          <w:bCs/>
          <w:b/>
        </w:rPr>
        <w:t xml:space="preserve">4 million RMB</w:t>
      </w:r>
      <w:r>
        <w:t xml:space="preserve"> </w:t>
      </w:r>
      <w:r>
        <w:t xml:space="preserve">invested over</w:t>
      </w:r>
      <w:r>
        <w:t xml:space="preserve"> </w:t>
      </w:r>
      <w:r>
        <w:rPr>
          <w:bCs/>
          <w:b/>
        </w:rPr>
        <w:t xml:space="preserve">5–9 years</w:t>
      </w:r>
      <w:r>
        <w:t xml:space="preserve">, and cites</w:t>
      </w:r>
      <w:r>
        <w:t xml:space="preserve"> </w:t>
      </w:r>
      <w:r>
        <w:rPr>
          <w:bCs/>
          <w:b/>
        </w:rPr>
        <w:t xml:space="preserve">10亿元</w:t>
      </w:r>
      <w:r>
        <w:t xml:space="preserve"> </w:t>
      </w:r>
      <w:r>
        <w:t xml:space="preserve">in sales</w:t>
      </w:r>
      <w:r>
        <w:t xml:space="preserve"> </w:t>
      </w:r>
      <w:r>
        <w:rPr>
          <w:rStyle w:val="FootnoteReference"/>
        </w:rPr>
        <w:footnoteReference w:id="39"/>
      </w:r>
      <w:r>
        <w:t xml:space="preserve">.</w:t>
      </w:r>
    </w:p>
    <w:p>
      <w:pPr>
        <w:pStyle w:val="FirstParagraph"/>
      </w:pPr>
      <w:hyperlink r:id="rId43">
        <w:r>
          <w:drawing>
            <wp:inline>
              <wp:extent cx="5334000" cy="4000500"/>
              <wp:effectExtent b="0" l="0" r="0" t="0"/>
              <wp:docPr descr="《群英汇 话新春》 20260301 把春天带回家 | 农业致富经 Agriculture And Farming" title="" id="41" name="Picture"/>
              <a:graphic>
                <a:graphicData uri="http://schemas.openxmlformats.org/drawingml/2006/picture">
                  <pic:pic>
                    <pic:nvPicPr>
                      <pic:cNvPr descr="https://img.youtube.com/vi/j5D4LX4hWq0/hqdefault.jpg" id="4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4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《群英汇 话新春》 20260301 把春天带回家 | 农业致富经 Agriculture And Farming (0:06)</w:t>
      </w:r>
    </w:p>
    <w:bookmarkEnd w:id="44"/>
    <w:bookmarkStart w:id="51" w:name="regional-developments"/>
    <w:p>
      <w:pPr>
        <w:pStyle w:val="Heading2"/>
      </w:pPr>
      <w:r>
        <w:t xml:space="preserve">3) Regional Developments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Western Canada (crop risk resource shared):</w:t>
      </w:r>
      <w:r>
        <w:t xml:space="preserve"> </w:t>
      </w:r>
      <w:r>
        <w:t xml:space="preserve">A post titled</w:t>
      </w:r>
      <w:r>
        <w:t xml:space="preserve"> </w:t>
      </w:r>
      <w:r>
        <w:t xml:space="preserve">“</w:t>
      </w:r>
      <w:r>
        <w:rPr>
          <w:bCs/>
          <w:b/>
        </w:rPr>
        <w:t xml:space="preserve">Cereal lodging isn’t just a nitrogen problem</w:t>
      </w:r>
      <w:r>
        <w:t xml:space="preserve">”</w:t>
      </w:r>
      <w:r>
        <w:t xml:space="preserve"> </w:t>
      </w:r>
      <w:r>
        <w:t xml:space="preserve">was shared to r/farming, linking to a Producer.com article for details</w:t>
      </w:r>
      <w:r>
        <w:t xml:space="preserve"> </w:t>
      </w:r>
      <w:r>
        <w:rPr>
          <w:rStyle w:val="FootnoteReference"/>
        </w:rPr>
        <w:footnoteReference w:id="45"/>
      </w:r>
      <w:r>
        <w:rPr>
          <w:rStyle w:val="FootnoteReference"/>
        </w:rPr>
        <w:footnoteReference w:id="47"/>
      </w:r>
      <w:r>
        <w:t xml:space="preserve">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China (Hebei): scale signal in chestnuts:</w:t>
      </w:r>
      <w:r>
        <w:t xml:space="preserve"> </w:t>
      </w:r>
      <w:r>
        <w:t xml:space="preserve">A segment references Qinglong County having</w:t>
      </w:r>
      <w:r>
        <w:t xml:space="preserve"> </w:t>
      </w:r>
      <w:r>
        <w:rPr>
          <w:bCs/>
          <w:b/>
        </w:rPr>
        <w:t xml:space="preserve">1+ million mu</w:t>
      </w:r>
      <w:r>
        <w:t xml:space="preserve"> </w:t>
      </w:r>
      <w:r>
        <w:t xml:space="preserve">of chestnut trees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China (Hainan): meat goose growth constraints:</w:t>
      </w:r>
      <w:r>
        <w:t xml:space="preserve"> </w:t>
      </w:r>
      <w:r>
        <w:t xml:space="preserve">A case on Ma Gang geese describes birds at ~86 days coming in</w:t>
      </w:r>
      <w:r>
        <w:t xml:space="preserve"> </w:t>
      </w:r>
      <w:r>
        <w:rPr>
          <w:bCs/>
          <w:b/>
        </w:rPr>
        <w:t xml:space="preserve">below target weight</w:t>
      </w:r>
      <w:r>
        <w:t xml:space="preserve"> </w:t>
      </w:r>
      <w:r>
        <w:t xml:space="preserve">(examples cited at</w:t>
      </w:r>
      <w:r>
        <w:t xml:space="preserve"> </w:t>
      </w:r>
      <w:r>
        <w:rPr>
          <w:bCs/>
          <w:b/>
        </w:rPr>
        <w:t xml:space="preserve">7.5</w:t>
      </w:r>
      <w:r>
        <w:t xml:space="preserve">,</w:t>
      </w:r>
      <w:r>
        <w:t xml:space="preserve"> </w:t>
      </w:r>
      <w:r>
        <w:rPr>
          <w:bCs/>
          <w:b/>
        </w:rPr>
        <w:t xml:space="preserve">8.4</w:t>
      </w:r>
      <w:r>
        <w:t xml:space="preserve">,</w:t>
      </w:r>
      <w:r>
        <w:t xml:space="preserve"> </w:t>
      </w:r>
      <w:r>
        <w:rPr>
          <w:bCs/>
          <w:b/>
        </w:rPr>
        <w:t xml:space="preserve">7.8</w:t>
      </w:r>
      <w:r>
        <w:t xml:space="preserve">) relative to a goal of reaching</w:t>
      </w:r>
      <w:r>
        <w:t xml:space="preserve"> </w:t>
      </w:r>
      <w:r>
        <w:rPr>
          <w:bCs/>
          <w:b/>
        </w:rPr>
        <w:t xml:space="preserve">9+ jin</w:t>
      </w:r>
      <w:r>
        <w:t xml:space="preserve"> </w:t>
      </w:r>
      <w:r>
        <w:t xml:space="preserve">by around a 90-day cycle</w:t>
      </w:r>
      <w:r>
        <w:t xml:space="preserve"> </w:t>
      </w:r>
      <w:r>
        <w:rPr>
          <w:rStyle w:val="FootnoteReference"/>
        </w:rPr>
        <w:footnoteReference w:id="49"/>
      </w:r>
      <w:r>
        <w:t xml:space="preserve">.</w:t>
      </w:r>
    </w:p>
    <w:bookmarkEnd w:id="51"/>
    <w:bookmarkStart w:id="79" w:name="best-practices-actionable"/>
    <w:p>
      <w:pPr>
        <w:pStyle w:val="Heading2"/>
      </w:pPr>
      <w:r>
        <w:t xml:space="preserve">4) Best Practices (actionable)</w:t>
      </w:r>
    </w:p>
    <w:bookmarkStart w:id="60" w:name="grains-oilseeds"/>
    <w:p>
      <w:pPr>
        <w:pStyle w:val="Heading3"/>
      </w:pPr>
      <w:r>
        <w:t xml:space="preserve">Grains &amp; oilseeds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Weed control discipline:</w:t>
      </w:r>
      <w:r>
        <w:t xml:space="preserve"> </w:t>
      </w:r>
      <w:r>
        <w:t xml:space="preserve">“</w:t>
      </w:r>
      <w:r>
        <w:rPr>
          <w:bCs/>
          <w:b/>
        </w:rPr>
        <w:t xml:space="preserve">DON’T let weeds go to seed!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2"/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Cover crop termination:</w:t>
      </w:r>
      <w:r>
        <w:t xml:space="preserve"> </w:t>
      </w:r>
      <w:r>
        <w:t xml:space="preserve">Ag PhD shared</w:t>
      </w:r>
      <w:r>
        <w:t xml:space="preserve"> </w:t>
      </w:r>
      <w:r>
        <w:t xml:space="preserve">“</w:t>
      </w:r>
      <w:r>
        <w:t xml:space="preserve">a few tips on</w:t>
      </w:r>
      <w:r>
        <w:t xml:space="preserve"> </w:t>
      </w:r>
      <w:r>
        <w:rPr>
          <w:bCs/>
          <w:b/>
        </w:rPr>
        <w:t xml:space="preserve">killing off cover crops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4"/>
      </w:r>
      <w:r>
        <w:t xml:space="preserve">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Soybean seeding strategy prompt:</w:t>
      </w:r>
      <w:r>
        <w:t xml:space="preserve"> </w:t>
      </w:r>
      <w:r>
        <w:t xml:space="preserve">Ag PhD raised the question:</w:t>
      </w:r>
      <w:r>
        <w:t xml:space="preserve"> </w:t>
      </w:r>
      <w:r>
        <w:t xml:space="preserve">“</w:t>
      </w:r>
      <w:r>
        <w:rPr>
          <w:bCs/>
          <w:b/>
        </w:rPr>
        <w:t xml:space="preserve">Should you vary your soybean populations?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6"/>
      </w:r>
      <w:r>
        <w:t xml:space="preserve">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Prescribed fire planning (prairie systems):</w:t>
      </w:r>
      <w:r>
        <w:t xml:space="preserve"> </w:t>
      </w:r>
      <w:r>
        <w:t xml:space="preserve">Successful Farming notes that whether a prescribed prairie burn happens</w:t>
      </w:r>
      <w:r>
        <w:t xml:space="preserve"> </w:t>
      </w:r>
      <w:r>
        <w:rPr>
          <w:bCs/>
          <w:b/>
        </w:rPr>
        <w:t xml:space="preserve">in spring or after the growing season</w:t>
      </w:r>
      <w:r>
        <w:t xml:space="preserve">,</w:t>
      </w:r>
      <w:r>
        <w:t xml:space="preserve"> </w:t>
      </w:r>
      <w:r>
        <w:rPr>
          <w:bCs/>
          <w:b/>
        </w:rPr>
        <w:t xml:space="preserve">advance preparations</w:t>
      </w:r>
      <w:r>
        <w:t xml:space="preserve"> </w:t>
      </w:r>
      <w:r>
        <w:t xml:space="preserve">are key</w:t>
      </w:r>
      <w:r>
        <w:t xml:space="preserve"> </w:t>
      </w:r>
      <w:r>
        <w:rPr>
          <w:rStyle w:val="FootnoteReference"/>
        </w:rPr>
        <w:footnoteReference w:id="58"/>
      </w:r>
      <w:r>
        <w:t xml:space="preserve">.</w:t>
      </w:r>
    </w:p>
    <w:bookmarkEnd w:id="60"/>
    <w:bookmarkStart w:id="73" w:name="livestock-poultry-management-feed"/>
    <w:p>
      <w:pPr>
        <w:pStyle w:val="Heading3"/>
      </w:pPr>
      <w:r>
        <w:t xml:space="preserve">Livestock &amp; poultry (management + feed)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Seven-colored mountain chickens (Guizhou): reduce fighting + improve access to feed</w:t>
      </w:r>
    </w:p>
    <w:p>
      <w:pPr>
        <w:numPr>
          <w:ilvl w:val="1"/>
          <w:numId w:val="1007"/>
        </w:numPr>
        <w:pStyle w:val="Compact"/>
      </w:pPr>
      <w:r>
        <w:rPr>
          <w:bCs/>
          <w:b/>
        </w:rPr>
        <w:t xml:space="preserve">Stocking density:</w:t>
      </w:r>
      <w:r>
        <w:t xml:space="preserve"> </w:t>
      </w:r>
      <w:r>
        <w:t xml:space="preserve">A case example links fighting to density (~3 birds/m²) and recommends about</w:t>
      </w:r>
      <w:r>
        <w:t xml:space="preserve"> </w:t>
      </w:r>
      <w:r>
        <w:rPr>
          <w:bCs/>
          <w:b/>
        </w:rPr>
        <w:t xml:space="preserve">2 birds per m²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.</w:t>
      </w:r>
    </w:p>
    <w:p>
      <w:pPr>
        <w:numPr>
          <w:ilvl w:val="1"/>
          <w:numId w:val="1007"/>
        </w:numPr>
        <w:pStyle w:val="Compact"/>
      </w:pPr>
      <w:r>
        <w:rPr>
          <w:bCs/>
          <w:b/>
        </w:rPr>
        <w:t xml:space="preserve">Uniformity management:</w:t>
      </w:r>
      <w:r>
        <w:t xml:space="preserve"> </w:t>
      </w:r>
      <w:r>
        <w:t xml:space="preserve">Separate stronger/heavier birds from weaker/lighter birds to reduce bullying and help weaker birds maintain feed access</w:t>
      </w:r>
      <w:r>
        <w:t xml:space="preserve"> </w:t>
      </w:r>
      <w:r>
        <w:rPr>
          <w:rStyle w:val="FootnoteReference"/>
        </w:rPr>
        <w:footnoteReference w:id="62"/>
      </w:r>
      <w:r>
        <w:rPr>
          <w:rStyle w:val="FootnoteReference"/>
        </w:rPr>
        <w:footnoteReference w:id="63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Fan ducks (Jiangxi): fighting and flight control</w:t>
      </w:r>
    </w:p>
    <w:p>
      <w:pPr>
        <w:numPr>
          <w:ilvl w:val="1"/>
          <w:numId w:val="1008"/>
        </w:numPr>
        <w:pStyle w:val="Compact"/>
      </w:pPr>
      <w:r>
        <w:rPr>
          <w:bCs/>
          <w:b/>
        </w:rPr>
        <w:t xml:space="preserve">Separate sexes after maturity:</w:t>
      </w:r>
      <w:r>
        <w:t xml:space="preserve"> </w:t>
      </w:r>
      <w:r>
        <w:t xml:space="preserve">A case attributes severe fighting to mixed-sex housing after ducks are sexually mature (~7+ months), recommending separating males and females</w:t>
      </w:r>
      <w:r>
        <w:t xml:space="preserve"> </w:t>
      </w:r>
      <w:r>
        <w:rPr>
          <w:rStyle w:val="FootnoteReference"/>
        </w:rPr>
        <w:footnoteReference w:id="64"/>
      </w:r>
      <w:r>
        <w:t xml:space="preserve">.</w:t>
      </w:r>
    </w:p>
    <w:p>
      <w:pPr>
        <w:numPr>
          <w:ilvl w:val="1"/>
          <w:numId w:val="1008"/>
        </w:numPr>
        <w:pStyle w:val="Compact"/>
      </w:pPr>
      <w:r>
        <w:rPr>
          <w:bCs/>
          <w:b/>
        </w:rPr>
        <w:t xml:space="preserve">Reduce flight without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hurting appearance</w:t>
      </w:r>
      <w:r>
        <w:rPr>
          <w:bCs/>
          <w:b/>
        </w:rPr>
        <w:t xml:space="preserve">”</w:t>
      </w:r>
      <w:r>
        <w:rPr>
          <w:bCs/>
          <w:b/>
        </w:rPr>
        <w:t xml:space="preserve">:</w:t>
      </w:r>
      <w:r>
        <w:t xml:space="preserve"> </w:t>
      </w:r>
      <w:r>
        <w:t xml:space="preserve">Clip</w:t>
      </w:r>
      <w:r>
        <w:t xml:space="preserve"> </w:t>
      </w:r>
      <w:r>
        <w:rPr>
          <w:bCs/>
          <w:b/>
        </w:rPr>
        <w:t xml:space="preserve">7–8 primary feathers on one wing</w:t>
      </w:r>
      <w:r>
        <w:t xml:space="preserve"> </w:t>
      </w:r>
      <w:r>
        <w:t xml:space="preserve">(starting around the 6th) to create imbalance, reducing flight distance while keeping it less noticeable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.</w:t>
      </w:r>
    </w:p>
    <w:p>
      <w:pPr>
        <w:numPr>
          <w:ilvl w:val="1"/>
          <w:numId w:val="1008"/>
        </w:numPr>
        <w:pStyle w:val="Compact"/>
      </w:pPr>
      <w:r>
        <w:rPr>
          <w:bCs/>
          <w:b/>
        </w:rPr>
        <w:t xml:space="preserve">Anti-fighting eyewear:</w:t>
      </w:r>
      <w:r>
        <w:t xml:space="preserve"> </w:t>
      </w:r>
      <w:r>
        <w:t xml:space="preserve">Transparent</w:t>
      </w:r>
      <w:r>
        <w:t xml:space="preserve"> </w:t>
      </w:r>
      <w:r>
        <w:t xml:space="preserve">“</w:t>
      </w:r>
      <w:r>
        <w:t xml:space="preserve">glasses</w:t>
      </w:r>
      <w:r>
        <w:t xml:space="preserve">”</w:t>
      </w:r>
      <w:r>
        <w:t xml:space="preserve"> </w:t>
      </w:r>
      <w:r>
        <w:t xml:space="preserve">are shown as a method to block vision and reduce fighting; the segment emphasizes using consistent color to avoid triggering more pecking/fighting</w:t>
      </w:r>
      <w:r>
        <w:t xml:space="preserve"> </w:t>
      </w:r>
      <w:r>
        <w:rPr>
          <w:rStyle w:val="FootnoteReference"/>
        </w:rPr>
        <w:footnoteReference w:id="66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Turkeys (Henan): correct nutrition for growth stage + reduce fighting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Why broiler feed can fail:</w:t>
      </w:r>
      <w:r>
        <w:t xml:space="preserve"> </w:t>
      </w:r>
      <w:r>
        <w:t xml:space="preserve">The segment explains turkey growth needs (especially in the 3–6 month stage) may not be met by standard broiler feed (notably calcium/phosphorus needs for skeletal growth) and shows a feed adjustment approach</w:t>
      </w:r>
      <w:r>
        <w:t xml:space="preserve"> </w:t>
      </w:r>
      <w:r>
        <w:rPr>
          <w:rStyle w:val="FootnoteReference"/>
        </w:rPr>
        <w:footnoteReference w:id="67"/>
      </w:r>
      <w:r>
        <w:t xml:space="preserve">.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Adjustment example:</w:t>
      </w:r>
      <w:r>
        <w:t xml:space="preserve"> </w:t>
      </w:r>
      <w:r>
        <w:t xml:space="preserve">Add</w:t>
      </w:r>
      <w:r>
        <w:t xml:space="preserve"> </w:t>
      </w:r>
      <w:r>
        <w:rPr>
          <w:bCs/>
          <w:b/>
        </w:rPr>
        <w:t xml:space="preserve">1.5–2% phosphorus-calcium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2% bean cake</w:t>
      </w:r>
      <w:r>
        <w:t xml:space="preserve"> </w:t>
      </w:r>
      <w:r>
        <w:t xml:space="preserve">to improve nutrient sufficiency for growth</w:t>
      </w:r>
      <w:r>
        <w:t xml:space="preserve"> </w:t>
      </w:r>
      <w:r>
        <w:rPr>
          <w:rStyle w:val="FootnoteReference"/>
        </w:rPr>
        <w:footnoteReference w:id="68"/>
      </w:r>
      <w:r>
        <w:t xml:space="preserve">.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Reduce fighting:</w:t>
      </w:r>
      <w:r>
        <w:t xml:space="preserve"> </w:t>
      </w:r>
      <w:r>
        <w:t xml:space="preserve">Hang grass boards and red cloth to distract birds</w:t>
      </w:r>
      <w:r>
        <w:t xml:space="preserve"> </w:t>
      </w:r>
      <w:r>
        <w:rPr>
          <w:rStyle w:val="FootnoteReference"/>
        </w:rPr>
        <w:footnoteReference w:id="69"/>
      </w:r>
      <w:r>
        <w:t xml:space="preserve">.</w:t>
      </w:r>
    </w:p>
    <w:p>
      <w:pPr>
        <w:numPr>
          <w:ilvl w:val="1"/>
          <w:numId w:val="1009"/>
        </w:numPr>
        <w:pStyle w:val="Compact"/>
      </w:pPr>
      <w:r>
        <w:rPr>
          <w:bCs/>
          <w:b/>
        </w:rPr>
        <w:t xml:space="preserve">Garlic feeding rationale (as presented):</w:t>
      </w:r>
      <w:r>
        <w:t xml:space="preserve"> </w:t>
      </w:r>
      <w:r>
        <w:t xml:space="preserve">Garlic is described as helping</w:t>
      </w:r>
      <w:r>
        <w:t xml:space="preserve"> </w:t>
      </w:r>
      <w:r>
        <w:t xml:space="preserve">“</w:t>
      </w:r>
      <w:r>
        <w:t xml:space="preserve">sterilize/anti-inflammation,</w:t>
      </w:r>
      <w:r>
        <w:t xml:space="preserve">”</w:t>
      </w:r>
      <w:r>
        <w:t xml:space="preserve"> </w:t>
      </w:r>
      <w:r>
        <w:t xml:space="preserve">supporting better absorption and faster growth</w:t>
      </w:r>
      <w:r>
        <w:t xml:space="preserve"> </w:t>
      </w:r>
      <w:r>
        <w:rPr>
          <w:rStyle w:val="FootnoteReference"/>
        </w:rPr>
        <w:footnoteReference w:id="70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 Gang geese (Hainan): fattening phase needs space control + dry resting</w:t>
      </w:r>
    </w:p>
    <w:p>
      <w:pPr>
        <w:numPr>
          <w:ilvl w:val="1"/>
          <w:numId w:val="1010"/>
        </w:numPr>
        <w:pStyle w:val="Compact"/>
      </w:pPr>
      <w:r>
        <w:rPr>
          <w:bCs/>
          <w:b/>
        </w:rPr>
        <w:t xml:space="preserve">Diagnosed constraint:</w:t>
      </w:r>
      <w:r>
        <w:t xml:space="preserve"> </w:t>
      </w:r>
      <w:r>
        <w:t xml:space="preserve">Excessive activity (too much space) and wet ground are described as key reasons geese weren’t gaining enough fat/weight</w:t>
      </w:r>
      <w:r>
        <w:t xml:space="preserve"> </w:t>
      </w:r>
      <w:r>
        <w:rPr>
          <w:rStyle w:val="FootnoteReference"/>
        </w:rPr>
        <w:footnoteReference w:id="71"/>
      </w:r>
      <w:r>
        <w:t xml:space="preserve">.</w:t>
      </w:r>
    </w:p>
    <w:p>
      <w:pPr>
        <w:numPr>
          <w:ilvl w:val="1"/>
          <w:numId w:val="1010"/>
        </w:numPr>
        <w:pStyle w:val="Compact"/>
      </w:pPr>
      <w:r>
        <w:rPr>
          <w:bCs/>
          <w:b/>
        </w:rPr>
        <w:t xml:space="preserve">Fattening guidance:</w:t>
      </w:r>
      <w:r>
        <w:t xml:space="preserve"> </w:t>
      </w:r>
      <w:r>
        <w:t xml:space="preserve">In the fattening stage, reduce activity space to help accumulate fat; one method shown is using</w:t>
      </w:r>
      <w:r>
        <w:t xml:space="preserve"> </w:t>
      </w:r>
      <w:r>
        <w:rPr>
          <w:bCs/>
          <w:b/>
        </w:rPr>
        <w:t xml:space="preserve">net beds</w:t>
      </w:r>
      <w:r>
        <w:t xml:space="preserve"> </w:t>
      </w:r>
      <w:r>
        <w:t xml:space="preserve">and managing density around</w:t>
      </w:r>
      <w:r>
        <w:t xml:space="preserve"> </w:t>
      </w:r>
      <w:r>
        <w:rPr>
          <w:bCs/>
          <w:b/>
        </w:rPr>
        <w:t xml:space="preserve">10 geese per m²</w:t>
      </w:r>
      <w:r>
        <w:t xml:space="preserve"> </w:t>
      </w:r>
      <w:r>
        <w:t xml:space="preserve">(example:</w:t>
      </w:r>
      <w:r>
        <w:t xml:space="preserve"> </w:t>
      </w:r>
      <w:r>
        <w:rPr>
          <w:bCs/>
          <w:b/>
        </w:rPr>
        <w:t xml:space="preserve">1,800 geese</w:t>
      </w:r>
      <w:r>
        <w:t xml:space="preserve"> </w:t>
      </w:r>
      <w:r>
        <w:t xml:space="preserve">needing</w:t>
      </w:r>
      <w:r>
        <w:t xml:space="preserve"> </w:t>
      </w:r>
      <w:r>
        <w:rPr>
          <w:bCs/>
          <w:b/>
        </w:rPr>
        <w:t xml:space="preserve">180 m²</w:t>
      </w:r>
      <w:r>
        <w:t xml:space="preserve"> </w:t>
      </w:r>
      <w:r>
        <w:t xml:space="preserve">of net bed)</w:t>
      </w:r>
      <w:r>
        <w:t xml:space="preserve"> </w:t>
      </w:r>
      <w:r>
        <w:rPr>
          <w:rStyle w:val="FootnoteReference"/>
        </w:rPr>
        <w:footnoteReference w:id="72"/>
      </w:r>
      <w:r>
        <w:t xml:space="preserve">.</w:t>
      </w:r>
    </w:p>
    <w:bookmarkEnd w:id="73"/>
    <w:bookmarkStart w:id="78" w:name="soil-sensing"/>
    <w:p>
      <w:pPr>
        <w:pStyle w:val="Heading3"/>
      </w:pPr>
      <w:r>
        <w:t xml:space="preserve">Soil &amp; sensing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Pesticide drift detection via imaging:</w:t>
      </w:r>
      <w:r>
        <w:t xml:space="preserve"> </w:t>
      </w:r>
      <w:r>
        <w:t xml:space="preserve">One commenter notes</w:t>
      </w:r>
      <w:r>
        <w:t xml:space="preserve"> </w:t>
      </w:r>
      <w:r>
        <w:rPr>
          <w:bCs/>
          <w:b/>
        </w:rPr>
        <w:t xml:space="preserve">pesticide droplets themselves</w:t>
      </w:r>
      <w:r>
        <w:t xml:space="preserve"> </w:t>
      </w:r>
      <w:r>
        <w:t xml:space="preserve">likely wouldn’t show up on imaging sensors (minimal light reflection), while</w:t>
      </w:r>
      <w:r>
        <w:t xml:space="preserve"> </w:t>
      </w:r>
      <w:r>
        <w:rPr>
          <w:bCs/>
          <w:b/>
        </w:rPr>
        <w:t xml:space="preserve">vegetation damage</w:t>
      </w:r>
      <w:r>
        <w:t xml:space="preserve"> </w:t>
      </w:r>
      <w:r>
        <w:t xml:space="preserve">would be easier to capture and diagnose</w:t>
      </w:r>
      <w:r>
        <w:t xml:space="preserve"> </w:t>
      </w:r>
      <w:r>
        <w:rPr>
          <w:rStyle w:val="FootnoteReference"/>
        </w:rPr>
        <w:footnoteReference w:id="74"/>
      </w:r>
      <w:r>
        <w:t xml:space="preserve">. Another notes hyperspectral imaging research exists for direct detection but says effectiveness is uncertain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</w:t>
      </w:r>
    </w:p>
    <w:bookmarkEnd w:id="78"/>
    <w:bookmarkEnd w:id="79"/>
    <w:bookmarkStart w:id="85" w:name="X292b728280c7c773bac81f7df9897ef2b03b160"/>
    <w:p>
      <w:pPr>
        <w:pStyle w:val="Heading2"/>
      </w:pPr>
      <w:r>
        <w:t xml:space="preserve">5) Input Markets (fertility, feed, tools, and on-farm capex)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Turkey (policy support tied to diesel/fertilizer support legacy):</w:t>
      </w:r>
      <w:r>
        <w:t xml:space="preserve"> </w:t>
      </w:r>
      <w:r>
        <w:t xml:space="preserve">Support payments previously known as</w:t>
      </w:r>
      <w:r>
        <w:t xml:space="preserve"> </w:t>
      </w:r>
      <w:r>
        <w:rPr>
          <w:bCs/>
          <w:b/>
        </w:rPr>
        <w:t xml:space="preserve">Diesel and Fertilizer Support</w:t>
      </w:r>
      <w:r>
        <w:t xml:space="preserve"> </w:t>
      </w:r>
      <w:r>
        <w:t xml:space="preserve">(Mazot ve Gübre Desteği) are now under a renamed support framework, with payments scheduled</w:t>
      </w:r>
      <w:r>
        <w:t xml:space="preserve"> </w:t>
      </w:r>
      <w:r>
        <w:rPr>
          <w:bCs/>
          <w:b/>
        </w:rPr>
        <w:t xml:space="preserve">March 6–March 20</w:t>
      </w:r>
      <w:r>
        <w:t xml:space="preserve"> </w:t>
      </w:r>
      <w:r>
        <w:rPr>
          <w:rStyle w:val="FootnoteReference"/>
        </w:rPr>
        <w:footnoteReference w:id="80"/>
      </w:r>
      <w:r>
        <w:t xml:space="preserve">.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Feed formulation (turkeys):</w:t>
      </w:r>
      <w:r>
        <w:t xml:space="preserve"> </w:t>
      </w:r>
      <w:r>
        <w:t xml:space="preserve">A demonstrated adjustment to address growth limitations adds</w:t>
      </w:r>
      <w:r>
        <w:t xml:space="preserve"> </w:t>
      </w:r>
      <w:r>
        <w:rPr>
          <w:bCs/>
          <w:b/>
        </w:rPr>
        <w:t xml:space="preserve">1.5–2% phosphorus-calcium</w:t>
      </w:r>
      <w:r>
        <w:t xml:space="preserve"> </w:t>
      </w:r>
      <w:r>
        <w:t xml:space="preserve">plus</w:t>
      </w:r>
      <w:r>
        <w:t xml:space="preserve"> </w:t>
      </w:r>
      <w:r>
        <w:rPr>
          <w:bCs/>
          <w:b/>
        </w:rPr>
        <w:t xml:space="preserve">2% bean cake</w:t>
      </w:r>
      <w:r>
        <w:t xml:space="preserve"> </w:t>
      </w:r>
      <w:r>
        <w:t xml:space="preserve">to existing feed</w:t>
      </w:r>
      <w:r>
        <w:t xml:space="preserve"> </w:t>
      </w:r>
      <w:r>
        <w:rPr>
          <w:rStyle w:val="FootnoteReference"/>
        </w:rPr>
        <w:footnoteReference w:id="81"/>
      </w:r>
      <w:r>
        <w:t xml:space="preserve">.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Housing capex (geese, China):</w:t>
      </w:r>
      <w:r>
        <w:t xml:space="preserve"> </w:t>
      </w:r>
      <w:r>
        <w:t xml:space="preserve">Building net beds is costed at about</w:t>
      </w:r>
      <w:r>
        <w:t xml:space="preserve"> </w:t>
      </w:r>
      <w:r>
        <w:rPr>
          <w:bCs/>
          <w:b/>
        </w:rPr>
        <w:t xml:space="preserve">40,000 yuan</w:t>
      </w:r>
      <w:r>
        <w:t xml:space="preserve"> </w:t>
      </w:r>
      <w:r>
        <w:t xml:space="preserve">for ~1,800 geese (materials</w:t>
      </w:r>
      <w:r>
        <w:t xml:space="preserve"> </w:t>
      </w:r>
      <w:r>
        <w:rPr>
          <w:bCs/>
          <w:b/>
        </w:rPr>
        <w:t xml:space="preserve">30,000</w:t>
      </w:r>
      <w:r>
        <w:t xml:space="preserve">, labor</w:t>
      </w:r>
      <w:r>
        <w:t xml:space="preserve"> </w:t>
      </w:r>
      <w:r>
        <w:rPr>
          <w:bCs/>
          <w:b/>
        </w:rPr>
        <w:t xml:space="preserve">10,000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82"/>
      </w:r>
      <w:r>
        <w:t xml:space="preserve">. The segment shows a cost-reduction approach using</w:t>
      </w:r>
      <w:r>
        <w:t xml:space="preserve"> </w:t>
      </w:r>
      <w:r>
        <w:rPr>
          <w:bCs/>
          <w:b/>
        </w:rPr>
        <w:t xml:space="preserve">8,000 yuan</w:t>
      </w:r>
      <w:r>
        <w:t xml:space="preserve"> </w:t>
      </w:r>
      <w:r>
        <w:t xml:space="preserve">iron net plus bamboo as a frame substitute to save on iron pipe cost</w:t>
      </w:r>
      <w:r>
        <w:t xml:space="preserve"> </w:t>
      </w:r>
      <w:r>
        <w:rPr>
          <w:rStyle w:val="FootnoteReference"/>
        </w:rPr>
        <w:footnoteReference w:id="83"/>
      </w:r>
      <w:r>
        <w:t xml:space="preserve">.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Farm/garden software (consumer-priced tool):</w:t>
      </w:r>
      <w:r>
        <w:t xml:space="preserve"> </w:t>
      </w:r>
      <w:r>
        <w:t xml:space="preserve">Plant Anywhere positions itself as a</w:t>
      </w:r>
      <w:r>
        <w:t xml:space="preserve"> </w:t>
      </w:r>
      <w:r>
        <w:rPr>
          <w:bCs/>
          <w:b/>
        </w:rPr>
        <w:t xml:space="preserve">$49.99 one-time purchase</w:t>
      </w:r>
      <w:r>
        <w:t xml:space="preserve"> </w:t>
      </w:r>
      <w:r>
        <w:rPr>
          <w:rStyle w:val="FootnoteReference"/>
        </w:rPr>
        <w:footnoteReference w:id="84"/>
      </w:r>
      <w:r>
        <w:t xml:space="preserve">.</w:t>
      </w:r>
    </w:p>
    <w:bookmarkEnd w:id="85"/>
    <w:bookmarkStart w:id="94" w:name="forward-outlook-seasonal-considerations"/>
    <w:p>
      <w:pPr>
        <w:pStyle w:val="Heading2"/>
      </w:pPr>
      <w:r>
        <w:t xml:space="preserve">6) Forward Outlook (seasonal considerations)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U.S. spring fieldwork:</w:t>
      </w:r>
      <w:r>
        <w:t xml:space="preserve"> </w:t>
      </w:r>
      <w:r>
        <w:t xml:space="preserve">The U.S. Corn Drought Monitor snapshot is framed as a pre-plant baseline—worth tracking as planting approaches</w:t>
      </w:r>
      <w:r>
        <w:t xml:space="preserve"> </w:t>
      </w:r>
      <w:r>
        <w:rPr>
          <w:rStyle w:val="FootnoteReference"/>
        </w:rPr>
        <w:footnoteReference w:id="86"/>
      </w:r>
      <w:r>
        <w:t xml:space="preserve">.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Turkey field prep timing:</w:t>
      </w:r>
      <w:r>
        <w:t xml:space="preserve"> </w:t>
      </w:r>
      <w:r>
        <w:t xml:space="preserve">The Turkish payment schedule explicitly targets the run-up to spring field preparations and is slated to finish before Ramadan Bayram</w:t>
      </w:r>
      <w:r>
        <w:t xml:space="preserve"> </w:t>
      </w:r>
      <w:r>
        <w:rPr>
          <w:rStyle w:val="FootnoteReference"/>
        </w:rPr>
        <w:footnoteReference w:id="87"/>
      </w:r>
      <w:r>
        <w:rPr>
          <w:rStyle w:val="FootnoteReference"/>
        </w:rPr>
        <w:footnoteReference w:id="88"/>
      </w:r>
      <w:r>
        <w:t xml:space="preserve">.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Short harvest windows in specialty crops:</w:t>
      </w:r>
      <w:r>
        <w:t xml:space="preserve"> </w:t>
      </w:r>
      <w:r>
        <w:t xml:space="preserve">Rose essential oil production highlights the importance of</w:t>
      </w:r>
      <w:r>
        <w:t xml:space="preserve"> </w:t>
      </w:r>
      <w:r>
        <w:rPr>
          <w:bCs/>
          <w:b/>
        </w:rPr>
        <w:t xml:space="preserve">pre-sunrise bud harvest</w:t>
      </w:r>
      <w:r>
        <w:t xml:space="preserve"> </w:t>
      </w:r>
      <w:r>
        <w:t xml:space="preserve">for higher oil content</w:t>
      </w:r>
      <w:r>
        <w:t xml:space="preserve"> </w:t>
      </w:r>
      <w:r>
        <w:rPr>
          <w:rStyle w:val="FootnoteReference"/>
        </w:rPr>
        <w:footnoteReference w:id="89"/>
      </w:r>
      <w:r>
        <w:t xml:space="preserve">, and notes the flower period can be</w:t>
      </w:r>
      <w:r>
        <w:t xml:space="preserve"> </w:t>
      </w:r>
      <w:r>
        <w:rPr>
          <w:bCs/>
          <w:b/>
        </w:rPr>
        <w:t xml:space="preserve">15–20 days</w:t>
      </w:r>
      <w:r>
        <w:t xml:space="preserve">, with rain limiting picking and potentially cutting harvest materially if it persists during that window</w:t>
      </w:r>
      <w:r>
        <w:t xml:space="preserve"> </w:t>
      </w:r>
      <w:r>
        <w:rPr>
          <w:rStyle w:val="FootnoteReference"/>
        </w:rPr>
        <w:footnoteReference w:id="90"/>
      </w:r>
      <w:r>
        <w:t xml:space="preserve">.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Operational discipline reminders:</w:t>
      </w:r>
      <w:r>
        <w:t xml:space="preserve"> </w:t>
      </w:r>
      <w:r>
        <w:t xml:space="preserve">As spring management ramps up, sources emphasized avoiding preventable setbacks like letting weeds set seed</w:t>
      </w:r>
      <w:r>
        <w:t xml:space="preserve"> </w:t>
      </w:r>
      <w:r>
        <w:rPr>
          <w:rStyle w:val="FootnoteReference"/>
        </w:rPr>
        <w:footnoteReference w:id="91"/>
      </w:r>
      <w:r>
        <w:t xml:space="preserve"> </w:t>
      </w:r>
      <w:r>
        <w:t xml:space="preserve">and doing the prep work ahead of prescribed burns</w:t>
      </w:r>
      <w:r>
        <w:t xml:space="preserve"> </w:t>
      </w:r>
      <w:r>
        <w:rPr>
          <w:rStyle w:val="FootnoteReference"/>
        </w:rPr>
        <w:footnoteReference w:id="92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9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4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@GrainStats</w:t>
        </w:r>
      </w:hyperlink>
    </w:p>
    <w:p>
      <w:pPr>
        <w:numPr>
          <w:ilvl w:val="0"/>
          <w:numId w:val="1014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@mutludogru01</w:t>
        </w:r>
      </w:hyperlink>
    </w:p>
    <w:p>
      <w:pPr>
        <w:numPr>
          <w:ilvl w:val="0"/>
          <w:numId w:val="1014"/>
        </w:numPr>
        <w:pStyle w:val="Compact"/>
      </w:pPr>
      <w:hyperlink r:id="rId27">
        <w:r>
          <w:rPr>
            <w:rStyle w:val="Hyperlink"/>
          </w:rPr>
          <w:t xml:space="preserve">r/AgriTech comment by u/NarwhalTemporary8287</w:t>
        </w:r>
      </w:hyperlink>
    </w:p>
    <w:p>
      <w:pPr>
        <w:numPr>
          <w:ilvl w:val="0"/>
          <w:numId w:val="1014"/>
        </w:numPr>
        <w:pStyle w:val="Compact"/>
      </w:pPr>
      <w:hyperlink r:id="rId30">
        <w:r>
          <w:rPr>
            <w:rStyle w:val="Hyperlink"/>
          </w:rPr>
          <w:t xml:space="preserve">r/homestead post by u/forestdwellers</w:t>
        </w:r>
      </w:hyperlink>
    </w:p>
    <w:p>
      <w:pPr>
        <w:numPr>
          <w:ilvl w:val="0"/>
          <w:numId w:val="1014"/>
        </w:numPr>
        <w:pStyle w:val="Compact"/>
      </w:pPr>
      <w:hyperlink r:id="rId38">
        <w:r>
          <w:rPr>
            <w:rStyle w:val="Hyperlink"/>
          </w:rPr>
          <w:t xml:space="preserve">《群英汇 话新春》 20260301 把春天带回家 | 农业致富经 Agriculture And Farming</w:t>
        </w:r>
      </w:hyperlink>
    </w:p>
    <w:p>
      <w:pPr>
        <w:numPr>
          <w:ilvl w:val="0"/>
          <w:numId w:val="1014"/>
        </w:numPr>
        <w:pStyle w:val="Compact"/>
      </w:pPr>
      <w:hyperlink r:id="rId46">
        <w:r>
          <w:rPr>
            <w:rStyle w:val="Hyperlink"/>
          </w:rPr>
          <w:t xml:space="preserve">r/farming post by u/MennoniteDan</w:t>
        </w:r>
      </w:hyperlink>
    </w:p>
    <w:p>
      <w:pPr>
        <w:numPr>
          <w:ilvl w:val="0"/>
          <w:numId w:val="1014"/>
        </w:numPr>
        <w:pStyle w:val="Compact"/>
      </w:pPr>
      <w:hyperlink r:id="rId50">
        <w:r>
          <w:rPr>
            <w:rStyle w:val="Hyperlink"/>
          </w:rPr>
          <w:t xml:space="preserve">《田园帮帮团》 20260301 年味“帮帮团”·羽丰年欢 | 农业致富经 Agriculture And Farming</w:t>
        </w:r>
      </w:hyperlink>
    </w:p>
    <w:p>
      <w:pPr>
        <w:numPr>
          <w:ilvl w:val="0"/>
          <w:numId w:val="1014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  <w:p>
      <w:pPr>
        <w:numPr>
          <w:ilvl w:val="0"/>
          <w:numId w:val="1014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  <w:p>
      <w:pPr>
        <w:numPr>
          <w:ilvl w:val="0"/>
          <w:numId w:val="1014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  <w:p>
      <w:pPr>
        <w:numPr>
          <w:ilvl w:val="0"/>
          <w:numId w:val="1014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14"/>
        </w:numPr>
        <w:pStyle w:val="Compact"/>
      </w:pPr>
      <w:hyperlink r:id="rId75">
        <w:r>
          <w:rPr>
            <w:rStyle w:val="Hyperlink"/>
          </w:rPr>
          <w:t xml:space="preserve">r/Soil comment by u/Tight_Bullfrog_3356</w:t>
        </w:r>
      </w:hyperlink>
    </w:p>
    <w:p>
      <w:pPr>
        <w:numPr>
          <w:ilvl w:val="0"/>
          <w:numId w:val="1014"/>
        </w:numPr>
        <w:pStyle w:val="Compact"/>
      </w:pPr>
      <w:hyperlink r:id="rId77">
        <w:r>
          <w:rPr>
            <w:rStyle w:val="Hyperlink"/>
          </w:rPr>
          <w:t xml:space="preserve">r/Soil comment by u/zynlisnski</w:t>
        </w:r>
      </w:hyperlink>
    </w:p>
    <w:bookmarkEnd w:id="93"/>
    <w:bookmarkEnd w:id="94"/>
    <w:bookmarkEnd w:id="9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@GrainStats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@mutludogru01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@mutludogru01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r/AgriTech comment by u/NarwhalTemporary8287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r/AgriTech comment by u/NarwhalTemporary8287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r/homestead post by u/forestdwellers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r/homestead post by u/forestdwellers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r/homestead post by u/forestdwellers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r/homestead post by u/forestdwellers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r/homestead post by u/forestdwellers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r/homestead post by u/forestdwellers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r/homestead post by u/forestdwellers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《群英汇 话新春》 20260301 把春天带回家 | 农业致富经 Agriculture And Farming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《群英汇 话新春》 20260301 把春天带回家 | 农业致富经 Agriculture And Farming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r/farming post by u/MennoniteDan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r/farming post by u/MennoniteDan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《群英汇 话新春》 20260301 把春天带回家 | 农业致富经 Agriculture And Farming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《田园帮帮团》 20260301 年味“帮帮团”·羽丰年欢 | 农业致富经 Agriculture And Farming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《田园帮帮团》 20260301 年味“帮帮团”·羽丰年欢 | 农业致富经 Agriculture And Farming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《田园帮帮团》 20260301 年味“帮帮团”·羽丰年欢 | 农业致富经 Agriculture And Farming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《田园帮帮团》 20260301 年味“帮帮团”·羽丰年欢 | 农业致富经 Agriculture And Farming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《田园帮帮团》 20260301 年味“帮帮团”·羽丰年欢 | 农业致富经 Agriculture And Farming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《田园帮帮团》 20260301 年味“帮帮团”·羽丰年欢 | 农业致富经 Agriculture And Farming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《田园帮帮团》 20260301 年味“帮帮团”·羽丰年欢 | 农业致富经 Agriculture And Farming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《田园帮帮团》 20260301 年味“帮帮团”·羽丰年欢 | 农业致富经 Agriculture And Farming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《田园帮帮团》 20260301 年味“帮帮团”·羽丰年欢 | 农业致富经 Agriculture And Farming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《田园帮帮团》 20260301 年味“帮帮团”·羽丰年欢 | 农业致富经 Agriculture And Farming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《田园帮帮团》 20260301 年味“帮帮团”·羽丰年欢 | 农业致富经 Agriculture And Farming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《田园帮帮团》 20260301 年味“帮帮团”·羽丰年欢 | 农业致富经 Agriculture And Farming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《田园帮帮团》 20260301 年味“帮帮团”·羽丰年欢 | 农业致富经 Agriculture And Farming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r/Soil comment by u/Tight_Bullfrog_3356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r/Soil comment by u/zynlisnski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@mutludogru01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《田园帮帮团》 20260301 年味“帮帮团”·羽丰年欢 | 农业致富经 Agriculture And Farming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《田园帮帮团》 20260301 年味“帮帮团”·羽丰年欢 | 农业致富经 Agriculture And Farming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《田园帮帮团》 20260301 年味“帮帮团”·羽丰年欢 | 农业致富经 Agriculture And Farming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r/homestead post by u/forestdwellers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@GrainStats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@mutludogru01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@mutludogru01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《群英汇 话新春》 20260301 把春天带回家 | 农业致富经 Agriculture And Farming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《群英汇 话新春》 20260301 把春天带回家 | 农业致富经 Agriculture And Farming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0" Target="media/rId40.jpg" /><Relationship Type="http://schemas.openxmlformats.org/officeDocument/2006/relationships/hyperlink" Id="rId27" Target="https://www.reddit.com/r/AgriTech/comments/1ri29e8/comment/o82ujgy/" TargetMode="External" /><Relationship Type="http://schemas.openxmlformats.org/officeDocument/2006/relationships/hyperlink" Id="rId75" Target="https://www.reddit.com/r/Soil/comments/1ri7usw/comment/o843ciy/" TargetMode="External" /><Relationship Type="http://schemas.openxmlformats.org/officeDocument/2006/relationships/hyperlink" Id="rId77" Target="https://www.reddit.com/r/Soil/comments/1ri7usw/comment/o846wck/" TargetMode="External" /><Relationship Type="http://schemas.openxmlformats.org/officeDocument/2006/relationships/hyperlink" Id="rId46" Target="https://www.reddit.com/r/farming/comments/1rhy5mx/" TargetMode="External" /><Relationship Type="http://schemas.openxmlformats.org/officeDocument/2006/relationships/hyperlink" Id="rId30" Target="https://www.reddit.com/r/homestead/comments/1ri95cr/" TargetMode="External" /><Relationship Type="http://schemas.openxmlformats.org/officeDocument/2006/relationships/hyperlink" Id="rId50" Target="https://www.youtube.com/watch?v=SnW3adIGm1w" TargetMode="External" /><Relationship Type="http://schemas.openxmlformats.org/officeDocument/2006/relationships/hyperlink" Id="rId38" Target="https://www.youtube.com/watch?v=j5D4LX4hWq0" TargetMode="External" /><Relationship Type="http://schemas.openxmlformats.org/officeDocument/2006/relationships/hyperlink" Id="rId55" Target="https://x.com/AgPhDMedia/status/2028107994425123000" TargetMode="External" /><Relationship Type="http://schemas.openxmlformats.org/officeDocument/2006/relationships/hyperlink" Id="rId53" Target="https://x.com/AgPhDMedia/status/2028168389751943188" TargetMode="External" /><Relationship Type="http://schemas.openxmlformats.org/officeDocument/2006/relationships/hyperlink" Id="rId57" Target="https://x.com/AgPhDMedia/status/2028274090877039047" TargetMode="External" /><Relationship Type="http://schemas.openxmlformats.org/officeDocument/2006/relationships/hyperlink" Id="rId21" Target="https://x.com/GrainStats/status/2028124692746211715" TargetMode="External" /><Relationship Type="http://schemas.openxmlformats.org/officeDocument/2006/relationships/hyperlink" Id="rId59" Target="https://x.com/SuccessfulFarm/status/2027987234448658607" TargetMode="External" /><Relationship Type="http://schemas.openxmlformats.org/officeDocument/2006/relationships/hyperlink" Id="rId23" Target="https://x.com/mutludogru01/status/2028176666456187112" TargetMode="External" /><Relationship Type="http://schemas.openxmlformats.org/officeDocument/2006/relationships/hyperlink" Id="rId43" Target="https://youtube.com/watch?v=j5D4LX4hWq0&amp;t=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www.reddit.com/r/AgriTech/comments/1ri29e8/comment/o82ujgy/" TargetMode="External" /><Relationship Type="http://schemas.openxmlformats.org/officeDocument/2006/relationships/hyperlink" Id="rId75" Target="https://www.reddit.com/r/Soil/comments/1ri7usw/comment/o843ciy/" TargetMode="External" /><Relationship Type="http://schemas.openxmlformats.org/officeDocument/2006/relationships/hyperlink" Id="rId77" Target="https://www.reddit.com/r/Soil/comments/1ri7usw/comment/o846wck/" TargetMode="External" /><Relationship Type="http://schemas.openxmlformats.org/officeDocument/2006/relationships/hyperlink" Id="rId46" Target="https://www.reddit.com/r/farming/comments/1rhy5mx/" TargetMode="External" /><Relationship Type="http://schemas.openxmlformats.org/officeDocument/2006/relationships/hyperlink" Id="rId30" Target="https://www.reddit.com/r/homestead/comments/1ri95cr/" TargetMode="External" /><Relationship Type="http://schemas.openxmlformats.org/officeDocument/2006/relationships/hyperlink" Id="rId50" Target="https://www.youtube.com/watch?v=SnW3adIGm1w" TargetMode="External" /><Relationship Type="http://schemas.openxmlformats.org/officeDocument/2006/relationships/hyperlink" Id="rId38" Target="https://www.youtube.com/watch?v=j5D4LX4hWq0" TargetMode="External" /><Relationship Type="http://schemas.openxmlformats.org/officeDocument/2006/relationships/hyperlink" Id="rId55" Target="https://x.com/AgPhDMedia/status/2028107994425123000" TargetMode="External" /><Relationship Type="http://schemas.openxmlformats.org/officeDocument/2006/relationships/hyperlink" Id="rId53" Target="https://x.com/AgPhDMedia/status/2028168389751943188" TargetMode="External" /><Relationship Type="http://schemas.openxmlformats.org/officeDocument/2006/relationships/hyperlink" Id="rId57" Target="https://x.com/AgPhDMedia/status/2028274090877039047" TargetMode="External" /><Relationship Type="http://schemas.openxmlformats.org/officeDocument/2006/relationships/hyperlink" Id="rId21" Target="https://x.com/GrainStats/status/2028124692746211715" TargetMode="External" /><Relationship Type="http://schemas.openxmlformats.org/officeDocument/2006/relationships/hyperlink" Id="rId59" Target="https://x.com/SuccessfulFarm/status/2027987234448658607" TargetMode="External" /><Relationship Type="http://schemas.openxmlformats.org/officeDocument/2006/relationships/hyperlink" Id="rId23" Target="https://x.com/mutludogru01/status/2028176666456187112" TargetMode="External" /><Relationship Type="http://schemas.openxmlformats.org/officeDocument/2006/relationships/hyperlink" Id="rId43" Target="https://youtube.com/watch?v=j5D4LX4hWq0&amp;t=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Pre-plant drought signals, Turkey support payments, and practical farm-tech + livestock playbooks</dc:title>
  <dc:creator>Global Agricultural Developments</dc:creator>
  <cp:keywords/>
  <dcterms:created xsi:type="dcterms:W3CDTF">2026-03-02T22:40:14Z</dcterms:created>
  <dcterms:modified xsi:type="dcterms:W3CDTF">2026-03-02T22:40:14Z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2026-03-02</vt:lpwstr>
  </property>
</Properties>
</file>