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Production Fan-Out Patterns and a 280kLOC WebKit PR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2026-06-21</w:t>
      </w:r>
    </w:p>
    <w:bookmarkStart w:id="29" w:name="Xab5d3a663174b5509c7326153c0615d0674e35f"/>
    <w:p>
      <w:pPr>
        <w:pStyle w:val="Heading1"/>
      </w:pPr>
      <w:r>
        <w:t xml:space="preserve">Production Fan-Out Patterns and a 280kLOC WebKit PR</w:t>
      </w:r>
    </w:p>
    <w:p>
      <w:pPr>
        <w:pStyle w:val="FirstParagraph"/>
      </w:pPr>
      <w:r>
        <w:rPr>
          <w:iCs/>
          <w:i/>
        </w:rPr>
        <w:t xml:space="preserve">By Coding Agents Alpha Tracker • June 21, 2026</w:t>
      </w:r>
    </w:p>
    <w:p>
      <w:pPr>
        <w:pStyle w:val="BodyText"/>
      </w:pPr>
      <w:r>
        <w:t xml:space="preserve">Today’s brief focuses on a concrete subagent workflow from Cognition: decompose work, keep contexts small, front-load clarifications, and let agents write prompts and sanity tests. It also flags a 280kLOC AI-generated WebKit PR as a useful case study in reviewing large agent-generated changes.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most practical signal today is</w:t>
      </w:r>
      <w:r>
        <w:t xml:space="preserve"> </w:t>
      </w:r>
      <w:r>
        <w:rPr>
          <w:bCs/>
          <w:b/>
        </w:rPr>
        <w:t xml:space="preserve">agent fan-out</w:t>
      </w:r>
      <w:r>
        <w:t xml:space="preserve"> </w:t>
      </w:r>
      <w:r>
        <w:t xml:space="preserve">from inside Cognition: a lead Devin breaks a problem into independent chunks, spins up 5-100 child Devins in parallel, then combines the results [1]. The rationale is simple and portable: agents do better when both the task and the context are small, and separate VMs make the parallelism real rather than cosmetic [1]. This is already used by Cognition’s model research and product teams, not just as a demo pattern [1].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a coordinator/worker split for migrations and large refactors.</w:t>
      </w:r>
      <w:r>
        <w:t xml:space="preserve"> </w:t>
      </w:r>
      <w:r>
        <w:t xml:space="preserve">Ask the parent agent to decompose the job into independent workstreams, spawn one child per workstream, and merge centrally at the end. Concrete example: one Cognition workflow split a React Native-to-Swift migration into 6 pieces and ran them in parallel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the parent agent write the child prompts.</w:t>
      </w:r>
      <w:r>
        <w:t xml:space="preserve"> </w:t>
      </w:r>
      <w:r>
        <w:t xml:space="preserve">Instead of hand-writing every worker brief, have the main agent generate prompts for its own subagents [1]. Practical flow: define the top-level goal, ask for decomposition, then have the parent draft the child prompts before launch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Front-load clarifications before you fan out.</w:t>
      </w:r>
      <w:r>
        <w:t xml:space="preserve"> </w:t>
      </w:r>
      <w:r>
        <w:t xml:space="preserve">Tell the agent to ask every ambiguity-filling question up front, then give it all required context so the run does not stop every few minutes for missing details [1]. This pairs directly with the small-context rule behind fan-out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Require self-tests, then manage the fleet instead of one chat.</w:t>
      </w:r>
      <w:r>
        <w:t xml:space="preserve"> </w:t>
      </w:r>
      <w:r>
        <w:t xml:space="preserve">Have the agent generate its own integration sanity tests as part of the run [1]. In the same workflow, the human role shifts toward supervising many active agents rather than micromanaging one session [1].</w:t>
      </w:r>
    </w:p>
    <w:bookmarkEnd w:id="21"/>
    <w:bookmarkStart w:id="23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Artifact worth studying:</w:t>
      </w:r>
      <w:r>
        <w:t xml:space="preserve"> </w:t>
      </w:r>
      <w:r>
        <w:t xml:space="preserve">Armin Ronacher surfaced a</w:t>
      </w:r>
      <w:r>
        <w:t xml:space="preserve"> </w:t>
      </w:r>
      <w:hyperlink r:id="rId22">
        <w:r>
          <w:rPr>
            <w:rStyle w:val="Hyperlink"/>
          </w:rPr>
          <w:t xml:space="preserve">280kLOC AI-generated pull request against WebKit</w:t>
        </w:r>
      </w:hyperlink>
      <w:r>
        <w:t xml:space="preserve"> </w:t>
      </w:r>
      <w:r>
        <w:t xml:space="preserve">and said it is a reminder that</w:t>
      </w:r>
      <w:r>
        <w:t xml:space="preserve"> </w:t>
      </w:r>
      <w:r>
        <w:t xml:space="preserve">“</w:t>
      </w:r>
      <w:r>
        <w:t xml:space="preserve">loops are coming for core infrastructure</w:t>
      </w:r>
      <w:r>
        <w:t xml:space="preserve">”</w:t>
      </w:r>
      <w:r>
        <w:t xml:space="preserve"> </w:t>
      </w:r>
      <w:r>
        <w:t xml:space="preserve">[2, 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Adoption signal:</w:t>
      </w:r>
      <w:r>
        <w:t xml:space="preserve"> </w:t>
      </w:r>
      <w:r>
        <w:t xml:space="preserve">the fan-out pattern above is already being used inside Cognition’s model research team to spin up 100 Devins on eval logs, and by product teams to run 5 child Devins against 5 alternative implementations of the same idea [1].</w:t>
      </w:r>
    </w:p>
    <w:bookmarkEnd w:id="23"/>
    <w:bookmarkStart w:id="28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Study the original workflow writeup:</w:t>
      </w:r>
      <w:r>
        <w:t xml:space="preserve"> </w:t>
      </w:r>
      <w:hyperlink r:id="rId24">
        <w:r>
          <w:rPr>
            <w:rStyle w:val="Hyperlink"/>
          </w:rPr>
          <w:t xml:space="preserve">imjaredz on Devin fan-out</w:t>
        </w:r>
      </w:hyperlink>
      <w:r>
        <w:t xml:space="preserve">. It is a compact but unusually actionable thread on subagent orchestration: decomposition, child prompt generation, up-front clarification, parallel VMs, and agent-written sanity tests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Read the maintainer reaction alongside the code:</w:t>
      </w:r>
      <w:r>
        <w:t xml:space="preserve"> </w:t>
      </w:r>
      <w:hyperlink r:id="rId25">
        <w:r>
          <w:rPr>
            <w:rStyle w:val="Hyperlink"/>
          </w:rPr>
          <w:t xml:space="preserve">Armin Ronacher’s note</w:t>
        </w:r>
      </w:hyperlink>
      <w:r>
        <w:t xml:space="preserve"> </w:t>
      </w:r>
      <w:r>
        <w:t xml:space="preserve">+</w:t>
      </w:r>
      <w:r>
        <w:t xml:space="preserve"> </w:t>
      </w:r>
      <w:hyperlink r:id="rId22">
        <w:r>
          <w:rPr>
            <w:rStyle w:val="Hyperlink"/>
          </w:rPr>
          <w:t xml:space="preserve">WebKit PR #249</w:t>
        </w:r>
      </w:hyperlink>
      <w:r>
        <w:t xml:space="preserve">. Useful if you are thinking about how established projects review and absorb very large AI-generated changes [2, 3].</w:t>
      </w:r>
    </w:p>
    <w:p>
      <w:pPr>
        <w:pStyle w:val="BlockText"/>
      </w:pPr>
      <w:r>
        <w:t xml:space="preserve">“</w:t>
      </w:r>
      <w:r>
        <w:t xml:space="preserve">Seeing a 280kLOC AI generated pull request against WebKit is a good reminder that loops are coming for core infrastructure. It’s both exciting and confusing. I wouldn’t know how to run an established project and make that change.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iCs/>
          <w:i/>
        </w:rPr>
        <w:t xml:space="preserve">Editorial take: the edge is moving from better one-shot prompts to better decomposition—small contexts, parallel workers, and review processes that can handle much larger AI-generated diffs [1, 2].</w:t>
      </w:r>
    </w:p>
    <w:p>
      <w:r>
        <w:pict>
          <v:rect style="width:0;height:1.5pt" o:hralign="center" o:hrstd="t" o:hr="t"/>
        </w:pict>
      </w:r>
    </w:p>
    <w:bookmarkStart w:id="2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@imjaredz</w:t>
        </w:r>
      </w:hyperlink>
    </w:p>
    <w:p>
      <w:pPr>
        <w:numPr>
          <w:ilvl w:val="0"/>
          <w:numId w:val="1004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4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github.com/oven-sh/WebKit/pull/249" TargetMode="External" /><Relationship Type="http://schemas.openxmlformats.org/officeDocument/2006/relationships/hyperlink" Id="rId24" Target="https://x.com/imjaredz/status/2068001458205720751" TargetMode="External" /><Relationship Type="http://schemas.openxmlformats.org/officeDocument/2006/relationships/hyperlink" Id="rId25" Target="https://x.com/mitsuhiko/status/2068400684047761506" TargetMode="External" /><Relationship Type="http://schemas.openxmlformats.org/officeDocument/2006/relationships/hyperlink" Id="rId26" Target="https://x.com/mitsuhiko/status/206840068554922427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oven-sh/WebKit/pull/249" TargetMode="External" /><Relationship Type="http://schemas.openxmlformats.org/officeDocument/2006/relationships/hyperlink" Id="rId24" Target="https://x.com/imjaredz/status/2068001458205720751" TargetMode="External" /><Relationship Type="http://schemas.openxmlformats.org/officeDocument/2006/relationships/hyperlink" Id="rId25" Target="https://x.com/mitsuhiko/status/2068400684047761506" TargetMode="External" /><Relationship Type="http://schemas.openxmlformats.org/officeDocument/2006/relationships/hyperlink" Id="rId26" Target="https://x.com/mitsuhiko/status/20684006855492242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Fan-Out Patterns and a 280kLOC WebKit PR</dc:title>
  <dc:creator>Coding Agents Alpha Tracker</dc:creator>
  <cp:keywords/>
  <dcterms:created xsi:type="dcterms:W3CDTF">2026-06-21T18:31:55Z</dcterms:created>
  <dcterms:modified xsi:type="dcterms:W3CDTF">2026-06-21T18:31:55Z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2026-06-21</vt:lpwstr>
  </property>
</Properties>
</file>