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2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Production Traces Are Becoming the Coding Agent’s Regression Suite</w:t>
      </w:r>
    </w:p>
    <w:p>
      <w:pPr>
        <w:pStyle w:val="Author"/>
      </w:pPr>
      <w:r>
        <w:t xml:space="preserve">Coding Agents Alpha Tracker</w:t>
      </w:r>
    </w:p>
    <w:p>
      <w:pPr>
        <w:pStyle w:val="Date"/>
      </w:pPr>
      <w:r>
        <w:t xml:space="preserve">2026-08-27</w:t>
      </w:r>
    </w:p>
    <w:bookmarkStart w:id="48" w:name="X8e6f42595ec9cb306a8d7f8b0bf46b87eccab30"/>
    <w:p>
      <w:pPr>
        <w:pStyle w:val="Heading1"/>
      </w:pPr>
      <w:r>
        <w:t xml:space="preserve">Production Traces Are Becoming the Coding Agent’s Regression Suite</w:t>
      </w:r>
    </w:p>
    <w:p>
      <w:pPr>
        <w:pStyle w:val="FirstParagraph"/>
      </w:pPr>
      <w:r>
        <w:rPr>
          <w:iCs/>
          <w:i/>
        </w:rPr>
        <w:t xml:space="preserve">By Coding Agents Alpha Tracker • August 27, 2026</w:t>
      </w:r>
    </w:p>
    <w:p>
      <w:pPr>
        <w:pStyle w:val="BodyText"/>
      </w:pPr>
      <w:r>
        <w:t xml:space="preserve">LangSmith Engine’s production trace-to-fix loop, reinforced by Rippling’s layered eval pipeline, points to a new coding-agent operating pattern: mine real failures, turn them into regression tests, and keep watching after deployment.</w:t>
      </w:r>
    </w:p>
    <w:bookmarkStart w:id="20" w:name="top-signal"/>
    <w:p>
      <w:pPr>
        <w:pStyle w:val="Heading2"/>
      </w:pPr>
      <w:r>
        <w:t xml:space="preserve">🔥 TOP SIGNAL</w:t>
      </w:r>
    </w:p>
    <w:p>
      <w:pPr>
        <w:pStyle w:val="FirstParagraph"/>
      </w:pPr>
      <w:r>
        <w:rPr>
          <w:bCs/>
          <w:b/>
        </w:rPr>
        <w:t xml:space="preserve">The most actionable shift is from launch-time checks to continuous production repair:</w:t>
      </w:r>
      <w:r>
        <w:t xml:space="preserve"> </w:t>
      </w:r>
      <w:r>
        <w:t xml:space="preserve">LangChain’s LangSmith Engine reviewed 20,000 traces from a go-to-market agent, grouped a disqualified-prospect failure across seven runs, traced it to</w:t>
      </w:r>
      <w:r>
        <w:t xml:space="preserve"> </w:t>
      </w:r>
      <w:r>
        <w:rPr>
          <w:rStyle w:val="VerbatimChar"/>
        </w:rPr>
        <w:t xml:space="preserve">disqualified: true</w:t>
      </w:r>
      <w:r>
        <w:t xml:space="preserve"> </w:t>
      </w:r>
      <w:r>
        <w:t xml:space="preserve">being overridden by an</w:t>
      </w:r>
      <w:r>
        <w:t xml:space="preserve"> </w:t>
      </w:r>
      <w:r>
        <w:t xml:space="preserve">“</w:t>
      </w:r>
      <w:r>
        <w:t xml:space="preserve">always send</w:t>
      </w:r>
      <w:r>
        <w:t xml:space="preserve">”</w:t>
      </w:r>
      <w:r>
        <w:t xml:space="preserve"> </w:t>
      </w:r>
      <w:r>
        <w:t xml:space="preserve">instruction, proposed a tool-level confirmation gate plus a prompt exception, turned failing runs into eval examples, and continued monitoring for recurrence. [1] Rippling’s reported stack makes the deployment version explicit: offline mocks and fixtures on every commit, 300–400 sandbox queries after merge, about 10 real-system scenarios that block deployment, and multiple daily runs against production data. [2]</w:t>
      </w:r>
    </w:p>
    <w:bookmarkEnd w:id="20"/>
    <w:bookmarkStart w:id="21" w:name="try-this"/>
    <w:p>
      <w:pPr>
        <w:pStyle w:val="Heading2"/>
      </w:pPr>
      <w:r>
        <w:t xml:space="preserve">⚡ TRY THIS</w:t>
      </w:r>
    </w:p>
    <w:p>
      <w:pPr>
        <w:numPr>
          <w:ilvl w:val="0"/>
          <w:numId w:val="1001"/>
        </w:numPr>
      </w:pPr>
      <w:r>
        <w:rPr>
          <w:bCs/>
          <w:b/>
        </w:rPr>
        <w:t xml:space="preserve">Turn production traces into a regression gate.</w:t>
      </w:r>
      <w:r>
        <w:t xml:space="preserve"> </w:t>
      </w:r>
      <w:r>
        <w:t xml:space="preserve">After a failure: (1) cluster recurring traces, (2) write the expected behavior as criteria, (3) turn failed inputs into dataset examples, (4) harden both the tool contract and the prompt, (5) run the proposed branch against the new examples plus existing evals, and (6) keep the issue under watch so recurrence reopens it. LangSmith’s concrete fix required a confirmed</w:t>
      </w:r>
      <w:r>
        <w:t xml:space="preserve"> </w:t>
      </w:r>
      <w:r>
        <w:rPr>
          <w:rStyle w:val="VerbatimChar"/>
        </w:rPr>
        <w:t xml:space="preserve">disqualified</w:t>
      </w:r>
      <w:r>
        <w:t xml:space="preserve"> </w:t>
      </w:r>
      <w:r>
        <w:t xml:space="preserve">flag and returned</w:t>
      </w:r>
      <w:r>
        <w:t xml:space="preserve"> </w:t>
      </w:r>
      <w:r>
        <w:rPr>
          <w:rStyle w:val="VerbatimChar"/>
        </w:rPr>
        <w:t xml:space="preserve">needs confirmation</w:t>
      </w:r>
      <w:r>
        <w:t xml:space="preserve"> </w:t>
      </w:r>
      <w:r>
        <w:t xml:space="preserve">when absent, rather than deleting the broader</w:t>
      </w:r>
      <w:r>
        <w:t xml:space="preserve"> </w:t>
      </w:r>
      <w:r>
        <w:t xml:space="preserve">“</w:t>
      </w:r>
      <w:r>
        <w:t xml:space="preserve">don’t be timid</w:t>
      </w:r>
      <w:r>
        <w:t xml:space="preserve">”</w:t>
      </w:r>
      <w:r>
        <w:t xml:space="preserve"> </w:t>
      </w:r>
      <w:r>
        <w:t xml:space="preserve">instruction. [1]</w:t>
      </w:r>
    </w:p>
    <w:p>
      <w:pPr>
        <w:numPr>
          <w:ilvl w:val="0"/>
          <w:numId w:val="1001"/>
        </w:numPr>
      </w:pPr>
      <w:r>
        <w:rPr>
          <w:bCs/>
          <w:b/>
        </w:rPr>
        <w:t xml:space="preserve">Use a planner → implementer → reviewer chain.</w:t>
      </w:r>
      <w:r>
        <w:t xml:space="preserve"> </w:t>
      </w:r>
      <w:r>
        <w:t xml:space="preserve">DHH’s current routing is Fable for planning/review, another model such as Opus 5 for implementation, then Codex xHigh—and sometimes Grok—as an independent checker. His prompt shape for a real port was: make a dependency-free Rust version as a single executable, keep it pixel-perfect frame by frame, perform a full analysis, and</w:t>
      </w:r>
      <w:r>
        <w:t xml:space="preserve"> </w:t>
      </w:r>
      <w:r>
        <w:t xml:space="preserve">“</w:t>
      </w:r>
      <w:r>
        <w:t xml:space="preserve">don’t stop until you’re finished</w:t>
      </w:r>
      <w:r>
        <w:t xml:space="preserve">”</w:t>
      </w:r>
      <w:r>
        <w:t xml:space="preserve">; Fable’s detailed eight-step plan let Opus take over when Fable ran out of tokens. Pass that plan as the handoff artifact. In DHH’s run, Fable finished in just under 45 minutes; Sol and Grok completed the same task at about $46 and $55 of estimated token cost, while DeepSeek Pro took 2h45 at about $23 and Luna plus DeepSeek Flash failed. [3]</w:t>
      </w:r>
    </w:p>
    <w:p>
      <w:pPr>
        <w:numPr>
          <w:ilvl w:val="0"/>
          <w:numId w:val="1001"/>
        </w:numPr>
      </w:pPr>
      <w:r>
        <w:rPr>
          <w:bCs/>
          <w:b/>
        </w:rPr>
        <w:t xml:space="preserve">Put visual UI changes behind an isolated branch.</w:t>
      </w:r>
      <w:r>
        <w:t xml:space="preserve"> </w:t>
      </w:r>
      <w:r>
        <w:t xml:space="preserve">Riley Brown’s reproducible setup is: connect a GrokBot developer bot to Cursor with the same account; ask for the redesign, specify the style, request screenshots, and name the model—his example ends</w:t>
      </w:r>
      <w:r>
        <w:t xml:space="preserve"> </w:t>
      </w:r>
      <w:r>
        <w:rPr>
          <w:rStyle w:val="VerbatimChar"/>
        </w:rPr>
        <w:t xml:space="preserve">Please use Claude Opus 5</w:t>
      </w:r>
      <w:r>
        <w:t xml:space="preserve">. Cursor then creates a separate branch and cloud computer, runs the app, opens a PR, and returns web/mobile screenshots; query</w:t>
      </w:r>
      <w:r>
        <w:t xml:space="preserve"> </w:t>
      </w:r>
      <w:r>
        <w:rPr>
          <w:rStyle w:val="VerbatimChar"/>
        </w:rPr>
        <w:t xml:space="preserve">status</w:t>
      </w:r>
      <w:r>
        <w:t xml:space="preserve"> </w:t>
      </w:r>
      <w:r>
        <w:t xml:space="preserve">while it runs. [4]</w:t>
      </w:r>
    </w:p>
    <w:p>
      <w:pPr>
        <w:numPr>
          <w:ilvl w:val="0"/>
          <w:numId w:val="1001"/>
        </w:numPr>
      </w:pPr>
      <w:r>
        <w:rPr>
          <w:bCs/>
          <w:b/>
        </w:rPr>
        <w:t xml:space="preserve">Keep agent instructions portable.</w:t>
      </w:r>
      <w:r>
        <w:t xml:space="preserve"> </w:t>
      </w:r>
      <w:r>
        <w:t xml:space="preserve">Romain Huet says OpenAI contributed</w:t>
      </w:r>
      <w:r>
        <w:t xml:space="preserve"> </w:t>
      </w:r>
      <w:r>
        <w:rPr>
          <w:rStyle w:val="VerbatimChar"/>
        </w:rPr>
        <w:t xml:space="preserve">AGENTS.md</w:t>
      </w:r>
      <w:r>
        <w:t xml:space="preserve"> </w:t>
      </w:r>
      <w:r>
        <w:t xml:space="preserve">to the Agentic AI Foundation so instructions, skills, and plugins can travel across tools; DHH reports using a minimal</w:t>
      </w:r>
      <w:r>
        <w:t xml:space="preserve"> </w:t>
      </w:r>
      <w:r>
        <w:rPr>
          <w:rStyle w:val="VerbatimChar"/>
        </w:rPr>
        <w:t xml:space="preserve">CLAUDE.md</w:t>
      </w:r>
      <w:r>
        <w:t xml:space="preserve"> </w:t>
      </w:r>
      <w:r>
        <w:t xml:space="preserve">that points to</w:t>
      </w:r>
      <w:r>
        <w:t xml:space="preserve"> </w:t>
      </w:r>
      <w:r>
        <w:rPr>
          <w:rStyle w:val="VerbatimChar"/>
        </w:rPr>
        <w:t xml:space="preserve">AGENTS.md</w:t>
      </w:r>
      <w:r>
        <w:t xml:space="preserve"> </w:t>
      </w:r>
      <w:r>
        <w:t xml:space="preserve">because Claude Code otherwise expects its own instruction and skills locations. Keep the canonical policy in</w:t>
      </w:r>
      <w:r>
        <w:t xml:space="preserve"> </w:t>
      </w:r>
      <w:r>
        <w:rPr>
          <w:rStyle w:val="VerbatimChar"/>
        </w:rPr>
        <w:t xml:space="preserve">AGENTS.md</w:t>
      </w:r>
      <w:r>
        <w:t xml:space="preserve">, add thin harness-specific adapters, and avoid maintaining divergent copies. [5, 3]</w:t>
      </w:r>
    </w:p>
    <w:bookmarkEnd w:id="21"/>
    <w:bookmarkStart w:id="22" w:name="what-shipped"/>
    <w:p>
      <w:pPr>
        <w:pStyle w:val="Heading2"/>
      </w:pPr>
      <w:r>
        <w:t xml:space="preserve">📡 WHAT SHIPPED</w:t>
      </w:r>
    </w:p>
    <w:p>
      <w:pPr>
        <w:numPr>
          <w:ilvl w:val="0"/>
          <w:numId w:val="1002"/>
        </w:numPr>
      </w:pPr>
      <w:r>
        <w:rPr>
          <w:bCs/>
          <w:b/>
        </w:rPr>
        <w:t xml:space="preserve">LangSmith Engine — production-agent maintenance tooling.</w:t>
      </w:r>
      <w:r>
        <w:t xml:space="preserve"> </w:t>
      </w:r>
      <w:r>
        <w:t xml:space="preserve">It can open and merge a PR directly, expose an issue through the CLI for another coding agent, derive dataset examples and expected-behavior criteria from failing production runs, test the proposed branch, and reopen a resolved issue when the failure recurs. [1]</w:t>
      </w:r>
    </w:p>
    <w:p>
      <w:pPr>
        <w:numPr>
          <w:ilvl w:val="0"/>
          <w:numId w:val="1002"/>
        </w:numPr>
      </w:pPr>
      <w:r>
        <w:rPr>
          <w:bCs/>
          <w:b/>
        </w:rPr>
        <w:t xml:space="preserve">OpenWiki 0.4.0 — cross-harness integrations, plus WikiBench.</w:t>
      </w:r>
      <w:r>
        <w:t xml:space="preserve"> </w:t>
      </w:r>
      <w:r>
        <w:t xml:space="preserve">Choose a harness after</w:t>
      </w:r>
      <w:r>
        <w:t xml:space="preserve"> </w:t>
      </w:r>
      <w:r>
        <w:rPr>
          <w:rStyle w:val="VerbatimChar"/>
        </w:rPr>
        <w:t xml:space="preserve">npm install -g openwiki@latest</w:t>
      </w:r>
      <w:r>
        <w:t xml:space="preserve">, then run</w:t>
      </w:r>
      <w:r>
        <w:t xml:space="preserve"> </w:t>
      </w:r>
      <w:r>
        <w:rPr>
          <w:rStyle w:val="VerbatimChar"/>
        </w:rPr>
        <w:t xml:space="preserve">openwiki integrations install claude</w:t>
      </w:r>
      <w:r>
        <w:t xml:space="preserve">,</w:t>
      </w:r>
      <w:r>
        <w:t xml:space="preserve"> </w:t>
      </w:r>
      <w:r>
        <w:rPr>
          <w:rStyle w:val="VerbatimChar"/>
        </w:rPr>
        <w:t xml:space="preserve">... codex</w:t>
      </w:r>
      <w:r>
        <w:t xml:space="preserve">, or</w:t>
      </w:r>
      <w:r>
        <w:t xml:space="preserve"> </w:t>
      </w:r>
      <w:r>
        <w:rPr>
          <w:rStyle w:val="VerbatimChar"/>
        </w:rPr>
        <w:t xml:space="preserve">... opencode</w:t>
      </w:r>
      <w:r>
        <w:t xml:space="preserve"> </w:t>
      </w:r>
      <w:r>
        <w:t xml:space="preserve">and ask the agent to create or update the repo wiki. [6] WikiBench evaluates that context layer on a pinned repository with a reader agent, coverage/retrieval questions, and separate fact-presence and grounding judges; wiki plus source produced the highest mean score at lower cost than raw source alone, while wiki-only performed much worse. [7]</w:t>
      </w:r>
    </w:p>
    <w:p>
      <w:pPr>
        <w:numPr>
          <w:ilvl w:val="0"/>
          <w:numId w:val="1002"/>
        </w:numPr>
      </w:pPr>
      <w:r>
        <w:rPr>
          <w:bCs/>
          <w:b/>
        </w:rPr>
        <w:t xml:space="preserve">Google Antigravity — richer agent I/O.</w:t>
      </w:r>
      <w:r>
        <w:t xml:space="preserve"> </w:t>
      </w:r>
      <w:r>
        <w:t xml:space="preserve">Interactive Generative UI Artifacts can render dynamic data visualizations and 3D explanatory simulations inline and in the artifacts panel. Gemini 3.5 Transcribe adds voice interaction that, with permission, uses screen context and chat history to improve transcription of file names, agent thoughts, and active documents. [8, 9]</w:t>
      </w:r>
    </w:p>
    <w:p>
      <w:pPr>
        <w:numPr>
          <w:ilvl w:val="0"/>
          <w:numId w:val="1002"/>
        </w:numPr>
      </w:pPr>
      <w:r>
        <w:rPr>
          <w:bCs/>
          <w:b/>
        </w:rPr>
        <w:t xml:space="preserve">Grok Bot — access expansion, but check the entitlement.</w:t>
      </w:r>
      <w:r>
        <w:t xml:space="preserve"> </w:t>
      </w:r>
      <w:r>
        <w:t xml:space="preserve">The</w:t>
      </w:r>
      <w:r>
        <w:t xml:space="preserve"> </w:t>
      </w:r>
      <w:r>
        <w:t xml:space="preserve">@bot</w:t>
      </w:r>
      <w:r>
        <w:t xml:space="preserve"> </w:t>
      </w:r>
      <w:r>
        <w:t xml:space="preserve">account says access is for SuperGrok and Cursor Pro subscribers, while Michael Truell says it is available to anyone with a standard Grok or Cursor subscription; the two announcements do not establish one consistent tier. [10, 11]</w:t>
      </w:r>
    </w:p>
    <w:p>
      <w:pPr>
        <w:numPr>
          <w:ilvl w:val="0"/>
          <w:numId w:val="1002"/>
        </w:numPr>
      </w:pPr>
      <w:r>
        <w:rPr>
          <w:bCs/>
          <w:b/>
        </w:rPr>
        <w:t xml:space="preserve">Codex compatibility watch.</w:t>
      </w:r>
      <w:r>
        <w:t xml:space="preserve"> </w:t>
      </w:r>
      <w:r>
        <w:t xml:space="preserve">Theo reports that Codex 0.150 introduced a breaking change that regressed T3 Code; he cut another stable release to fix it and said it should be out within 15 minutes. Separately, swyx advises avoiding Codex</w:t>
      </w:r>
      <w:r>
        <w:t xml:space="preserve"> </w:t>
      </w:r>
      <w:r>
        <w:t xml:space="preserve">“</w:t>
      </w:r>
      <w:r>
        <w:t xml:space="preserve">locked use</w:t>
      </w:r>
      <w:r>
        <w:t xml:space="preserve">”</w:t>
      </w:r>
      <w:r>
        <w:t xml:space="preserve"> </w:t>
      </w:r>
      <w:r>
        <w:t xml:space="preserve">on macOS after two keychain lockouts in one week, citing an Apple-recognized known bug and saying cloud use is not ready as a fallback. [12, 13]</w:t>
      </w:r>
    </w:p>
    <w:bookmarkEnd w:id="22"/>
    <w:bookmarkStart w:id="47" w:name="go-deeper"/>
    <w:p>
      <w:pPr>
        <w:pStyle w:val="Heading2"/>
      </w:pPr>
      <w:r>
        <w:t xml:space="preserve">🎬 GO DEEPER</w:t>
      </w:r>
    </w:p>
    <w:p>
      <w:pPr>
        <w:numPr>
          <w:ilvl w:val="0"/>
          <w:numId w:val="1003"/>
        </w:numPr>
      </w:pPr>
      <w:hyperlink r:id="rId23">
        <w:r>
          <w:rPr>
            <w:rStyle w:val="Hyperlink"/>
            <w:bCs/>
            <w:b/>
          </w:rPr>
          <w:t xml:space="preserve">ThePrimeTime —</w:t>
        </w:r>
        <w:r>
          <w:rPr>
            <w:rStyle w:val="Hyperlink"/>
            <w:bCs/>
            <w:b/>
          </w:rPr>
          <w:t xml:space="preserve"> </w:t>
        </w:r>
        <w:r>
          <w:rPr>
            <w:rStyle w:val="Hyperlink"/>
            <w:bCs/>
            <w:b/>
          </w:rPr>
          <w:t xml:space="preserve">“</w:t>
        </w:r>
        <w:r>
          <w:rPr>
            <w:rStyle w:val="Hyperlink"/>
            <w:bCs/>
            <w:b/>
          </w:rPr>
          <w:t xml:space="preserve">Protecting Your Energy</w:t>
        </w:r>
        <w:r>
          <w:rPr>
            <w:rStyle w:val="Hyperlink"/>
            <w:bCs/>
            <w:b/>
          </w:rPr>
          <w:t xml:space="preserve">”</w:t>
        </w:r>
      </w:hyperlink>
      <w:r>
        <w:rPr>
          <w:bCs/>
          <w:b/>
        </w:rPr>
        <w:t xml:space="preserve">.</w:t>
      </w:r>
      <w:r>
        <w:t xml:space="preserve"> </w:t>
      </w:r>
      <w:r>
        <w:t xml:space="preserve">The useful section is an agent-testing design critique: inspect what each trial did and how much damage it caused, launch experiments, generate tasks, run tests, and graph results—but recognize that a control surface can expose everything requested while still producing a workflow that is not useful. The close gives a practical human boundary: reserve the first hour for one personally meaningful feature and use prompting for surrounding setup. [14]</w:t>
      </w:r>
      <w:r>
        <w:t xml:space="preserve"> </w:t>
      </w:r>
      <w:hyperlink r:id="rId27">
        <w:r>
          <w:drawing>
            <wp:inline>
              <wp:extent cx="5334000" cy="4000500"/>
              <wp:effectExtent b="0" l="0" r="0" t="0"/>
              <wp:docPr descr="Protecting Your Energy" title="" id="25" name="Picture"/>
              <a:graphic>
                <a:graphicData uri="http://schemas.openxmlformats.org/drawingml/2006/picture">
                  <pic:pic>
                    <pic:nvPicPr>
                      <pic:cNvPr descr="https://img.youtube.com/vi/GEkoGCFpY8c/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Protecting Your Energy (9:34)</w:t>
      </w:r>
    </w:p>
    <w:p>
      <w:pPr>
        <w:numPr>
          <w:ilvl w:val="0"/>
          <w:numId w:val="1003"/>
        </w:numPr>
      </w:pPr>
      <w:hyperlink r:id="rId28">
        <w:r>
          <w:rPr>
            <w:rStyle w:val="Hyperlink"/>
            <w:bCs/>
            <w:b/>
          </w:rPr>
          <w:t xml:space="preserve">DHH —</w:t>
        </w:r>
        <w:r>
          <w:rPr>
            <w:rStyle w:val="Hyperlink"/>
            <w:bCs/>
            <w:b/>
          </w:rPr>
          <w:t xml:space="preserve"> </w:t>
        </w:r>
        <w:r>
          <w:rPr>
            <w:rStyle w:val="Hyperlink"/>
            <w:bCs/>
            <w:b/>
          </w:rPr>
          <w:t xml:space="preserve">“</w:t>
        </w:r>
        <w:r>
          <w:rPr>
            <w:rStyle w:val="Hyperlink"/>
            <w:bCs/>
            <w:b/>
          </w:rPr>
          <w:t xml:space="preserve">Future of Programming, AI, Agentic Engineering, Vibe Coding &amp; Linux</w:t>
        </w:r>
        <w:r>
          <w:rPr>
            <w:rStyle w:val="Hyperlink"/>
            <w:bCs/>
            <w:b/>
          </w:rPr>
          <w:t xml:space="preserve">”</w:t>
        </w:r>
      </w:hyperlink>
      <w:r>
        <w:rPr>
          <w:bCs/>
          <w:b/>
        </w:rPr>
        <w:t xml:space="preserve">.</w:t>
      </w:r>
      <w:r>
        <w:t xml:space="preserve"> </w:t>
      </w:r>
      <w:r>
        <w:t xml:space="preserve">Watch the model-routing segment for the planner/implementer/reviewer pattern and the economics of independent checks; later, DHH describes an Amabot</w:t>
      </w:r>
      <w:r>
        <w:t xml:space="preserve"> </w:t>
      </w:r>
      <w:r>
        <w:t xml:space="preserve">“</w:t>
      </w:r>
      <w:r>
        <w:t xml:space="preserve">brains and hands</w:t>
      </w:r>
      <w:r>
        <w:t xml:space="preserve">”</w:t>
      </w:r>
      <w:r>
        <w:t xml:space="preserve"> </w:t>
      </w:r>
      <w:r>
        <w:t xml:space="preserve">split in which the coordinator is separated from isolated VM workers and test output is treated as untrusted data. [3]</w:t>
      </w:r>
      <w:r>
        <w:t xml:space="preserve"> </w:t>
      </w:r>
      <w:hyperlink r:id="rId32">
        <w:r>
          <w:drawing>
            <wp:inline>
              <wp:extent cx="5334000" cy="4000500"/>
              <wp:effectExtent b="0" l="0" r="0" t="0"/>
              <wp:docPr descr="DHH: Future of Programming, AI, Agentic Engineering, Vibe Coding &amp; Linux | Lex Fridman Podcast #501" title="" id="30" name="Picture"/>
              <a:graphic>
                <a:graphicData uri="http://schemas.openxmlformats.org/drawingml/2006/picture">
                  <pic:pic>
                    <pic:nvPicPr>
                      <pic:cNvPr descr="https://img.youtube.com/vi/NYFGCESmikA/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DHH: Future of Programming, AI, Agentic Engineering, Vibe Coding &amp; Linux | Lex Fridman Podcast #501 (150:52)</w:t>
      </w:r>
    </w:p>
    <w:p>
      <w:pPr>
        <w:numPr>
          <w:ilvl w:val="0"/>
          <w:numId w:val="1003"/>
        </w:numPr>
      </w:pPr>
      <w:r>
        <w:rPr>
          <w:bCs/>
          <w:b/>
        </w:rPr>
        <w:t xml:space="preserve">Study</w:t>
      </w:r>
      <w:r>
        <w:rPr>
          <w:bCs/>
          <w:b/>
        </w:rPr>
        <w:t xml:space="preserve"> </w:t>
      </w:r>
      <w:hyperlink r:id="rId33">
        <w:r>
          <w:rPr>
            <w:rStyle w:val="Hyperlink"/>
            <w:bCs/>
            <w:b/>
          </w:rPr>
          <w:t xml:space="preserve">OpenWiki</w:t>
        </w:r>
      </w:hyperlink>
      <w:r>
        <w:rPr>
          <w:bCs/>
          <w:b/>
        </w:rPr>
        <w:t xml:space="preserve"> </w:t>
      </w:r>
      <w:r>
        <w:rPr>
          <w:bCs/>
          <w:b/>
        </w:rPr>
        <w:t xml:space="preserve">with WikiBench.</w:t>
      </w:r>
      <w:r>
        <w:t xml:space="preserve"> </w:t>
      </w:r>
      <w:r>
        <w:t xml:space="preserve">Its pinned-commit environment, reader-agent verifier, repository-grounded questions, and separate fact/grounding judges are a concrete reference architecture for testing whether agent memory helps rather than merely adding context. [7]</w:t>
      </w:r>
    </w:p>
    <w:p>
      <w:pPr>
        <w:pStyle w:val="FirstParagraph"/>
      </w:pPr>
      <w:r>
        <w:rPr>
          <w:bCs/>
          <w:b/>
        </w:rPr>
        <w:t xml:space="preserve">Editorial take:</w:t>
      </w:r>
      <w:r>
        <w:t xml:space="preserve"> </w:t>
      </w:r>
      <w:r>
        <w:t xml:space="preserve">The durable advantage is a feedback system—not a single</w:t>
      </w:r>
      <w:r>
        <w:t xml:space="preserve"> </w:t>
      </w:r>
      <w:r>
        <w:t xml:space="preserve">“</w:t>
      </w:r>
      <w:r>
        <w:t xml:space="preserve">best</w:t>
      </w:r>
      <w:r>
        <w:t xml:space="preserve">”</w:t>
      </w:r>
      <w:r>
        <w:t xml:space="preserve"> </w:t>
      </w:r>
      <w:r>
        <w:t xml:space="preserve">model: production failures become evals, model roles are separated, and execution stays isolated. [1, 3]</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4">
        <w:r>
          <w:rPr>
            <w:rStyle w:val="Hyperlink"/>
          </w:rPr>
          <w:t xml:space="preserve">Accelerate agent improvement with LangSmith Engine</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28">
        <w:r>
          <w:rPr>
            <w:rStyle w:val="Hyperlink"/>
          </w:rPr>
          <w:t xml:space="preserve">DHH: Future of Programming, AI, Agentic Engineering, Vibe Coding &amp; Linux | Lex Fridman Podcast #501</w:t>
        </w:r>
      </w:hyperlink>
    </w:p>
    <w:p>
      <w:pPr>
        <w:numPr>
          <w:ilvl w:val="0"/>
          <w:numId w:val="1004"/>
        </w:numPr>
        <w:pStyle w:val="Compact"/>
      </w:pPr>
      <w:hyperlink r:id="rId36">
        <w:r>
          <w:rPr>
            <w:rStyle w:val="Hyperlink"/>
          </w:rPr>
          <w:t xml:space="preserve">11 Insane Things Cursor’s NEW GrokBot Can Do</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@romainhuet</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@colifran_</w:t>
        </w:r>
      </w:hyperlink>
    </w:p>
    <w:p>
      <w:pPr>
        <w:numPr>
          <w:ilvl w:val="0"/>
          <w:numId w:val="1004"/>
        </w:numPr>
        <w:pStyle w:val="Compact"/>
      </w:pPr>
      <w:hyperlink r:id="rId39">
        <w:r>
          <w:rPr>
            <w:rStyle w:val="Hyperlink"/>
          </w:rPr>
          <w:t xml:space="preserve">𝕏 article by</w:t>
        </w:r>
        <w:r>
          <w:rPr>
            <w:rStyle w:val="Hyperlink"/>
          </w:rPr>
          <w:t xml:space="preserve"> </w:t>
        </w:r>
        <w:r>
          <w:rPr>
            <w:rStyle w:val="Hyperlink"/>
          </w:rPr>
          <w:t xml:space="preserve">@LangChain</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@bot</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@mntruell</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23">
        <w:r>
          <w:rPr>
            <w:rStyle w:val="Hyperlink"/>
          </w:rPr>
          <w:t xml:space="preserve">Protecting Your Energy</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29" Target="media/rId29.jpg" /><Relationship Type="http://schemas.openxmlformats.org/officeDocument/2006/relationships/hyperlink" Id="rId33" Target="https://github.com/langchain-ai/openwiki" TargetMode="External" /><Relationship Type="http://schemas.openxmlformats.org/officeDocument/2006/relationships/hyperlink" Id="rId23" Target="https://www.youtube.com/watch?v=GEkoGCFpY8c" TargetMode="External" /><Relationship Type="http://schemas.openxmlformats.org/officeDocument/2006/relationships/hyperlink" Id="rId28" Target="https://www.youtube.com/watch?v=NYFGCESmikA" TargetMode="External" /><Relationship Type="http://schemas.openxmlformats.org/officeDocument/2006/relationships/hyperlink" Id="rId36" Target="https://www.youtube.com/watch?v=XgkW4A6lrDY" TargetMode="External" /><Relationship Type="http://schemas.openxmlformats.org/officeDocument/2006/relationships/hyperlink" Id="rId34" Target="https://www.youtube.com/watch?v=hYhTke2m0X8" TargetMode="External" /><Relationship Type="http://schemas.openxmlformats.org/officeDocument/2006/relationships/hyperlink" Id="rId35" Target="https://x.com/LangChain/status/2092644336823332873" TargetMode="External" /><Relationship Type="http://schemas.openxmlformats.org/officeDocument/2006/relationships/hyperlink" Id="rId41" Target="https://x.com/antigravity/status/2092659312329986412" TargetMode="External" /><Relationship Type="http://schemas.openxmlformats.org/officeDocument/2006/relationships/hyperlink" Id="rId40" Target="https://x.com/antigravity/status/2092750545383551281" TargetMode="External" /><Relationship Type="http://schemas.openxmlformats.org/officeDocument/2006/relationships/hyperlink" Id="rId42" Target="https://x.com/bot/status/2092664183334846840" TargetMode="External" /><Relationship Type="http://schemas.openxmlformats.org/officeDocument/2006/relationships/hyperlink" Id="rId38" Target="https://x.com/colifran_/status/2092628620464554176" TargetMode="External" /><Relationship Type="http://schemas.openxmlformats.org/officeDocument/2006/relationships/hyperlink" Id="rId39" Target="https://x.com/i/article/2092268700195753984" TargetMode="External" /><Relationship Type="http://schemas.openxmlformats.org/officeDocument/2006/relationships/hyperlink" Id="rId43" Target="https://x.com/mntruell/status/2092672784774394350" TargetMode="External" /><Relationship Type="http://schemas.openxmlformats.org/officeDocument/2006/relationships/hyperlink" Id="rId37" Target="https://x.com/romainhuet/status/2092767496260743513" TargetMode="External" /><Relationship Type="http://schemas.openxmlformats.org/officeDocument/2006/relationships/hyperlink" Id="rId45" Target="https://x.com/swyx/status/2092492963435946494" TargetMode="External" /><Relationship Type="http://schemas.openxmlformats.org/officeDocument/2006/relationships/hyperlink" Id="rId44" Target="https://x.com/theo/status/2092846641166577986" TargetMode="External" /><Relationship Type="http://schemas.openxmlformats.org/officeDocument/2006/relationships/hyperlink" Id="rId27" Target="https://youtube.com/watch?v=GEkoGCFpY8c&amp;t=574" TargetMode="External" /><Relationship Type="http://schemas.openxmlformats.org/officeDocument/2006/relationships/hyperlink" Id="rId32" Target="https://youtube.com/watch?v=NYFGCESmikA&amp;t=9052" TargetMode="External" /></Relationships>
</file>

<file path=word/_rels/footnotes.xml.rels><?xml version="1.0" encoding="UTF-8"?><Relationships xmlns="http://schemas.openxmlformats.org/package/2006/relationships"><Relationship Type="http://schemas.openxmlformats.org/officeDocument/2006/relationships/hyperlink" Id="rId33" Target="https://github.com/langchain-ai/openwiki" TargetMode="External" /><Relationship Type="http://schemas.openxmlformats.org/officeDocument/2006/relationships/hyperlink" Id="rId23" Target="https://www.youtube.com/watch?v=GEkoGCFpY8c" TargetMode="External" /><Relationship Type="http://schemas.openxmlformats.org/officeDocument/2006/relationships/hyperlink" Id="rId28" Target="https://www.youtube.com/watch?v=NYFGCESmikA" TargetMode="External" /><Relationship Type="http://schemas.openxmlformats.org/officeDocument/2006/relationships/hyperlink" Id="rId36" Target="https://www.youtube.com/watch?v=XgkW4A6lrDY" TargetMode="External" /><Relationship Type="http://schemas.openxmlformats.org/officeDocument/2006/relationships/hyperlink" Id="rId34" Target="https://www.youtube.com/watch?v=hYhTke2m0X8" TargetMode="External" /><Relationship Type="http://schemas.openxmlformats.org/officeDocument/2006/relationships/hyperlink" Id="rId35" Target="https://x.com/LangChain/status/2092644336823332873" TargetMode="External" /><Relationship Type="http://schemas.openxmlformats.org/officeDocument/2006/relationships/hyperlink" Id="rId41" Target="https://x.com/antigravity/status/2092659312329986412" TargetMode="External" /><Relationship Type="http://schemas.openxmlformats.org/officeDocument/2006/relationships/hyperlink" Id="rId40" Target="https://x.com/antigravity/status/2092750545383551281" TargetMode="External" /><Relationship Type="http://schemas.openxmlformats.org/officeDocument/2006/relationships/hyperlink" Id="rId42" Target="https://x.com/bot/status/2092664183334846840" TargetMode="External" /><Relationship Type="http://schemas.openxmlformats.org/officeDocument/2006/relationships/hyperlink" Id="rId38" Target="https://x.com/colifran_/status/2092628620464554176" TargetMode="External" /><Relationship Type="http://schemas.openxmlformats.org/officeDocument/2006/relationships/hyperlink" Id="rId39" Target="https://x.com/i/article/2092268700195753984" TargetMode="External" /><Relationship Type="http://schemas.openxmlformats.org/officeDocument/2006/relationships/hyperlink" Id="rId43" Target="https://x.com/mntruell/status/2092672784774394350" TargetMode="External" /><Relationship Type="http://schemas.openxmlformats.org/officeDocument/2006/relationships/hyperlink" Id="rId37" Target="https://x.com/romainhuet/status/2092767496260743513" TargetMode="External" /><Relationship Type="http://schemas.openxmlformats.org/officeDocument/2006/relationships/hyperlink" Id="rId45" Target="https://x.com/swyx/status/2092492963435946494" TargetMode="External" /><Relationship Type="http://schemas.openxmlformats.org/officeDocument/2006/relationships/hyperlink" Id="rId44" Target="https://x.com/theo/status/2092846641166577986" TargetMode="External" /><Relationship Type="http://schemas.openxmlformats.org/officeDocument/2006/relationships/hyperlink" Id="rId27" Target="https://youtube.com/watch?v=GEkoGCFpY8c&amp;t=574" TargetMode="External" /><Relationship Type="http://schemas.openxmlformats.org/officeDocument/2006/relationships/hyperlink" Id="rId32" Target="https://youtube.com/watch?v=NYFGCESmikA&amp;t=90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Traces Are Becoming the Coding Agent’s Regression Suite</dc:title>
  <dc:creator>Coding Agents Alpha Tracker</dc:creator>
  <cp:keywords/>
  <dcterms:created xsi:type="dcterms:W3CDTF">2026-08-28T06:11:54Z</dcterms:created>
  <dcterms:modified xsi:type="dcterms:W3CDTF">2026-08-28T06:11:54Z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2026-08-27</vt:lpwstr>
  </property>
</Properties>
</file>