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Progress, permissions, and evidence: Stripe’s agentic-commerce framework, an AI narrative check, and a nutrigenomics breakthrough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2026-02-28</w:t>
      </w:r>
    </w:p>
    <w:bookmarkStart w:id="69" w:name="X2758395bcda7119a434c164ff51298f241122dd"/>
    <w:p>
      <w:pPr>
        <w:pStyle w:val="Heading1"/>
      </w:pPr>
      <w:r>
        <w:t xml:space="preserve">Progress, permissions, and evidence: Stripe’s agentic-commerce framework, an AI narrative check, and a nutrigenomics breakthrough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28, 2026</w:t>
      </w:r>
    </w:p>
    <w:p>
      <w:pPr>
        <w:pStyle w:val="BodyText"/>
      </w:pPr>
      <w:r>
        <w:t xml:space="preserve">Today’s strongest cluster is</w:t>
      </w:r>
      <w:r>
        <w:t xml:space="preserve"> </w:t>
      </w:r>
      <w:r>
        <w:t xml:space="preserve">“</w:t>
      </w:r>
      <w:r>
        <w:t xml:space="preserve">progress and its constraints</w:t>
      </w:r>
      <w:r>
        <w:t xml:space="preserve">”</w:t>
      </w:r>
      <w:r>
        <w:t xml:space="preserve">: a standout recommendation of Stripe’s 2025 Annual Letter for its agentic-commerce levels and regulatory framing, plus a companion</w:t>
      </w:r>
      <w:r>
        <w:t xml:space="preserve"> </w:t>
      </w:r>
      <w:r>
        <w:t xml:space="preserve">“</w:t>
      </w:r>
      <w:r>
        <w:t xml:space="preserve">build fast</w:t>
      </w:r>
      <w:r>
        <w:t xml:space="preserve">”</w:t>
      </w:r>
      <w:r>
        <w:t xml:space="preserve"> </w:t>
      </w:r>
      <w:r>
        <w:t xml:space="preserve">resource list. Also included: a check on AI overconfidence via Derek Thompson, a high-impact Arc/Cell nutrigenomics paper, and a history prompt from Keith Rabois.</w:t>
      </w:r>
    </w:p>
    <w:bookmarkStart w:id="29" w:name="X3390b644fad8c7d05787105b36c231a0c8652b0"/>
    <w:p>
      <w:pPr>
        <w:pStyle w:val="Heading2"/>
      </w:pPr>
      <w:r>
        <w:t xml:space="preserve">Most compelling recommendation: Stripe’s 2025 Annual Letter — a concrete framework for</w:t>
      </w:r>
      <w:r>
        <w:t xml:space="preserve"> </w:t>
      </w:r>
      <w:r>
        <w:t xml:space="preserve">“</w:t>
      </w:r>
      <w:r>
        <w:t xml:space="preserve">agentic commerce</w:t>
      </w:r>
      <w:r>
        <w:t xml:space="preserve">”</w:t>
      </w:r>
      <w:r>
        <w:t xml:space="preserve"> </w:t>
      </w:r>
      <w:r>
        <w:t xml:space="preserve">(plus real payments data)</w:t>
      </w:r>
    </w:p>
    <w:bookmarkStart w:id="28" w:name="X02cb7acae826ee5b25652ac887ab97970b3a71b"/>
    <w:p>
      <w:pPr>
        <w:pStyle w:val="Heading3"/>
      </w:pPr>
      <w:r>
        <w:rPr>
          <w:bCs/>
          <w:b/>
        </w:rPr>
        <w:t xml:space="preserve">Stripe’s 2025 Annual Letter</w:t>
      </w:r>
      <w:r>
        <w:t xml:space="preserve"> </w:t>
      </w:r>
      <w:r>
        <w:t xml:space="preserve">(annual letter) — Patrick and John Collison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https://x.com/stripe/status/2026294241450979364?s=20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</w:t>
      </w:r>
      <w:r>
        <w:t xml:space="preserve">: Packy McCormick (</w:t>
      </w:r>
      <w:r>
        <w:rPr>
          <w:iCs/>
          <w:i/>
        </w:rPr>
        <w:t xml:space="preserve">Not Boring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Packy calls it</w:t>
      </w:r>
      <w:r>
        <w:t xml:space="preserve"> </w:t>
      </w:r>
      <w:r>
        <w:t xml:space="preserve">“</w:t>
      </w:r>
      <w:r>
        <w:t xml:space="preserve">one of the best pieces of economic writing you’ll read all year,</w:t>
      </w:r>
      <w:r>
        <w:t xml:space="preserve">”</w:t>
      </w:r>
      <w:r>
        <w:t xml:space="preserve"> </w:t>
      </w:r>
      <w:r>
        <w:t xml:space="preserve">citing Stripe’s view into the internet economy via its data and writing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He highlights Stripe’s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agentic commerce</w:t>
      </w:r>
      <w:r>
        <w:rPr>
          <w:bCs/>
          <w:b/>
        </w:rPr>
        <w:t xml:space="preserve">”</w:t>
      </w:r>
      <w:r>
        <w:t xml:space="preserve"> </w:t>
      </w:r>
      <w:r>
        <w:t xml:space="preserve">framework: five levels, from agents that merely fill checkout forms to agents that anticipate needs and buy before you ask—while noting we’re</w:t>
      </w:r>
      <w:r>
        <w:t xml:space="preserve"> </w:t>
      </w:r>
      <w:r>
        <w:t xml:space="preserve">“</w:t>
      </w:r>
      <w:r>
        <w:t xml:space="preserve">hovering between levels 1 and 2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He pulls out the</w:t>
      </w:r>
      <w:r>
        <w:t xml:space="preserve"> </w:t>
      </w:r>
      <w:r>
        <w:t xml:space="preserve">“</w:t>
      </w:r>
      <w:r>
        <w:t xml:space="preserve">Republic of Permissions</w:t>
      </w:r>
      <w:r>
        <w:t xml:space="preserve">”</w:t>
      </w:r>
      <w:r>
        <w:t xml:space="preserve"> </w:t>
      </w:r>
      <w:r>
        <w:t xml:space="preserve">idea: technology success depends on whether regulators, committees, and courts allow deployment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This is a rare combination of</w:t>
      </w:r>
      <w:r>
        <w:t xml:space="preserve"> </w:t>
      </w:r>
      <w:r>
        <w:rPr>
          <w:bCs/>
          <w:b/>
        </w:rPr>
        <w:t xml:space="preserve">a staged framework</w:t>
      </w:r>
      <w:r>
        <w:t xml:space="preserve"> </w:t>
      </w:r>
      <w:r>
        <w:t xml:space="preserve">(how agent-driven buying might evolve) plus</w:t>
      </w:r>
      <w:r>
        <w:t xml:space="preserve"> </w:t>
      </w:r>
      <w:r>
        <w:rPr>
          <w:bCs/>
          <w:b/>
        </w:rPr>
        <w:t xml:space="preserve">operational-market observations</w:t>
      </w:r>
      <w:r>
        <w:t xml:space="preserve"> </w:t>
      </w:r>
      <w:r>
        <w:t xml:space="preserve">about the constraints that can block adoption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7"/>
      </w:r>
      <w:r>
        <w:t xml:space="preserve">.</w:t>
      </w:r>
    </w:p>
    <w:bookmarkEnd w:id="28"/>
    <w:bookmarkEnd w:id="29"/>
    <w:bookmarkStart w:id="36" w:name="X02c55046c7b8f182493d47944a89ec5bce2153d"/>
    <w:p>
      <w:pPr>
        <w:pStyle w:val="Heading2"/>
      </w:pPr>
      <w:r>
        <w:t xml:space="preserve">A second layer in the same theme: building fast vs. a</w:t>
      </w:r>
      <w:r>
        <w:t xml:space="preserve"> </w:t>
      </w:r>
      <w:r>
        <w:t xml:space="preserve">“</w:t>
      </w:r>
      <w:r>
        <w:t xml:space="preserve">Republic of Permissions</w:t>
      </w:r>
      <w:r>
        <w:t xml:space="preserve">”</w:t>
      </w:r>
    </w:p>
    <w:bookmarkStart w:id="35" w:name="Xdf6cb569ae3e43945402ff0aae2e6b683f85add"/>
    <w:p>
      <w:pPr>
        <w:pStyle w:val="Heading3"/>
      </w:pPr>
      <w:r>
        <w:rPr>
          <w:bCs/>
          <w:b/>
        </w:rPr>
        <w:t xml:space="preserve">“</w:t>
      </w:r>
      <w:r>
        <w:rPr>
          <w:bCs/>
          <w:b/>
        </w:rPr>
        <w:t xml:space="preserve">Fast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list</w:t>
      </w:r>
      <w:r>
        <w:t xml:space="preserve"> </w:t>
      </w:r>
      <w:r>
        <w:t xml:space="preserve">(article/resource list) — Patrick Collison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</w:t>
      </w:r>
      <w:r>
        <w:t xml:space="preserve">: https://patrickcollison.com/fast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</w:t>
      </w:r>
      <w:r>
        <w:t xml:space="preserve">: Packy McCormick (</w:t>
      </w:r>
      <w:r>
        <w:rPr>
          <w:iCs/>
          <w:i/>
        </w:rPr>
        <w:t xml:space="preserve">Not Boring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Packy frames it as the</w:t>
      </w:r>
      <w:r>
        <w:t xml:space="preserve"> </w:t>
      </w:r>
      <w:r>
        <w:t xml:space="preserve">“</w:t>
      </w:r>
      <w:r>
        <w:t xml:space="preserve">canonical list of projects from a time when we were able to build fast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Paired with the</w:t>
      </w:r>
      <w:r>
        <w:t xml:space="preserve"> </w:t>
      </w:r>
      <w:r>
        <w:t xml:space="preserve">“</w:t>
      </w:r>
      <w:r>
        <w:t xml:space="preserve">Republic of Permissions</w:t>
      </w:r>
      <w:r>
        <w:t xml:space="preserve">”</w:t>
      </w:r>
      <w:r>
        <w:t xml:space="preserve"> </w:t>
      </w:r>
      <w:r>
        <w:t xml:space="preserve">framing, it’s a useful contrast:</w:t>
      </w:r>
      <w:r>
        <w:t xml:space="preserve"> </w:t>
      </w:r>
      <w:r>
        <w:rPr>
          <w:bCs/>
          <w:b/>
        </w:rPr>
        <w:t xml:space="preserve">what rapid building looked like</w:t>
      </w:r>
      <w:r>
        <w:t xml:space="preserve"> </w:t>
      </w:r>
      <w:r>
        <w:t xml:space="preserve">vs. the modern environment where permissions can determine outcomes</w:t>
      </w:r>
      <w:r>
        <w:t xml:space="preserve"> </w:t>
      </w:r>
      <w:r>
        <w:rPr>
          <w:rStyle w:val="FootnoteReference"/>
        </w:rPr>
        <w:footnoteReference w:id="33"/>
      </w:r>
      <w:r>
        <w:rPr>
          <w:rStyle w:val="FootnoteReference"/>
        </w:rPr>
        <w:footnoteReference w:id="34"/>
      </w:r>
      <w:r>
        <w:t xml:space="preserve">.</w:t>
      </w:r>
    </w:p>
    <w:bookmarkEnd w:id="35"/>
    <w:bookmarkEnd w:id="36"/>
    <w:bookmarkStart w:id="46" w:name="X9f5dcdef1f4a626736c65a670c9e361b3a04129"/>
    <w:p>
      <w:pPr>
        <w:pStyle w:val="Heading2"/>
      </w:pPr>
      <w:r>
        <w:t xml:space="preserve">AI discourse: a pushback against overconfident forecasting</w:t>
      </w:r>
    </w:p>
    <w:bookmarkStart w:id="45" w:name="X5d1506a0222c54a70f086f11c662fc3993b459f"/>
    <w:p>
      <w:pPr>
        <w:pStyle w:val="Heading3"/>
      </w:pPr>
      <w:r>
        <w:rPr>
          <w:bCs/>
          <w:b/>
        </w:rPr>
        <w:t xml:space="preserve">“</w:t>
      </w:r>
      <w:r>
        <w:rPr>
          <w:bCs/>
          <w:b/>
        </w:rPr>
        <w:t xml:space="preserve">Nobody Knows Anything</w:t>
      </w:r>
      <w:r>
        <w:rPr>
          <w:bCs/>
          <w:b/>
        </w:rPr>
        <w:t xml:space="preserve">”</w:t>
      </w:r>
      <w:r>
        <w:t xml:space="preserve"> </w:t>
      </w:r>
      <w:r>
        <w:t xml:space="preserve">(article) — Derek Thompson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</w:t>
      </w:r>
      <w:r>
        <w:t xml:space="preserve">: David Sacks (on a YouTube podcast episode)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Sacks points to Thompson’s argument that no one really knows what will happen with AI in two years (let alone 20), and that AI debate can become</w:t>
      </w:r>
      <w:r>
        <w:t xml:space="preserve"> </w:t>
      </w:r>
      <w:r>
        <w:t xml:space="preserve">“</w:t>
      </w:r>
      <w:r>
        <w:t xml:space="preserve">science fiction writing masquerading as analysis</w:t>
      </w:r>
      <w:r>
        <w:t xml:space="preserve">”</w:t>
      </w:r>
      <w:r>
        <w:t xml:space="preserve"> </w:t>
      </w:r>
      <w:r>
        <w:t xml:space="preserve">— a</w:t>
      </w:r>
      <w:r>
        <w:t xml:space="preserve"> </w:t>
      </w:r>
      <w:r>
        <w:t xml:space="preserve">“</w:t>
      </w:r>
      <w:r>
        <w:t xml:space="preserve">marketplace of competing science fiction narratives</w:t>
      </w:r>
      <w:r>
        <w:t xml:space="preserve">”</w:t>
      </w:r>
      <w:r>
        <w:t xml:space="preserve"> </w:t>
      </w:r>
      <w:r>
        <w:t xml:space="preserve">amid high uncertainty and limited real-time macro evidence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</w:t>
      </w:r>
      <w:r>
        <w:t xml:space="preserve">: This is a reading pick that implicitly</w:t>
      </w:r>
      <w:r>
        <w:t xml:space="preserve"> </w:t>
      </w:r>
      <w:r>
        <w:rPr>
          <w:bCs/>
          <w:b/>
        </w:rPr>
        <w:t xml:space="preserve">raises the bar on evidence</w:t>
      </w:r>
      <w:r>
        <w:t xml:space="preserve"> </w:t>
      </w:r>
      <w:r>
        <w:t xml:space="preserve">when evaluating big AI claims—and is useful as a lens for separating narrative from analysis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pStyle w:val="FirstParagraph"/>
      </w:pPr>
      <w:hyperlink r:id="rId44">
        <w:r>
          <w:drawing>
            <wp:inline>
              <wp:extent cx="5334000" cy="4000500"/>
              <wp:effectExtent b="0" l="0" r="0" t="0"/>
              <wp:docPr descr="Software Stocks Implode, Claude’s Hit List, State of the Union Reactions, Trump’s Tariff Pivot" title="" id="42" name="Picture"/>
              <a:graphic>
                <a:graphicData uri="http://schemas.openxmlformats.org/drawingml/2006/picture">
                  <pic:pic>
                    <pic:nvPicPr>
                      <pic:cNvPr descr="https://img.youtube.com/vi/kzWbCF_IkHY/hqdefault.jpg" id="4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Software Stocks Implode, Claude’s Hit List, State of the Union Reactions, Trump’s Tariff Pivot (10:22)</w:t>
      </w:r>
    </w:p>
    <w:bookmarkEnd w:id="45"/>
    <w:bookmarkEnd w:id="46"/>
    <w:bookmarkStart w:id="55" w:name="X9053711e5061f6b99fa1486abc416e940d428db"/>
    <w:p>
      <w:pPr>
        <w:pStyle w:val="Heading2"/>
      </w:pPr>
      <w:r>
        <w:t xml:space="preserve">Research: a nutrigenomics result worth reading end-to-end</w:t>
      </w:r>
    </w:p>
    <w:bookmarkStart w:id="54" w:name="X17d9c82069cc2de1feae8948ea9daaf2585e735"/>
    <w:p>
      <w:pPr>
        <w:pStyle w:val="Heading3"/>
      </w:pPr>
      <w:r>
        <w:rPr>
          <w:bCs/>
          <w:b/>
        </w:rPr>
        <w:t xml:space="preserve">“</w:t>
      </w:r>
      <w:r>
        <w:rPr>
          <w:bCs/>
          <w:b/>
        </w:rPr>
        <w:t xml:space="preserve">Vitamin B2 and B3 nutrigenomics reveals a therapy for NAXD disease</w:t>
      </w:r>
      <w:r>
        <w:rPr>
          <w:bCs/>
          <w:b/>
        </w:rPr>
        <w:t xml:space="preserve">”</w:t>
      </w:r>
      <w:r>
        <w:t xml:space="preserve"> </w:t>
      </w:r>
      <w:r>
        <w:t xml:space="preserve">(research paper;</w:t>
      </w:r>
      <w:r>
        <w:t xml:space="preserve"> </w:t>
      </w:r>
      <w:r>
        <w:rPr>
          <w:iCs/>
          <w:i/>
        </w:rPr>
        <w:t xml:space="preserve">Cell</w:t>
      </w:r>
      <w:r>
        <w:t xml:space="preserve">) — Arc Institute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</w:t>
      </w:r>
      <w:r>
        <w:t xml:space="preserve">: https://www.cell.com/cell/fulltext/S0092-8674(26)00109-1</w:t>
      </w:r>
      <w:r>
        <w:t xml:space="preserve"> </w:t>
      </w:r>
      <w:r>
        <w:rPr>
          <w:rStyle w:val="FootnoteReference"/>
        </w:rPr>
        <w:footnoteReference w:id="47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</w:t>
      </w:r>
      <w:r>
        <w:t xml:space="preserve">: Packy McCormick, via Ulkar Aghayeva’s</w:t>
      </w:r>
      <w:r>
        <w:t xml:space="preserve"> </w:t>
      </w:r>
      <w:r>
        <w:rPr>
          <w:iCs/>
          <w:i/>
        </w:rPr>
        <w:t xml:space="preserve">Scientific Breakthroughs</w:t>
      </w:r>
      <w:r>
        <w:t xml:space="preserve"> </w:t>
      </w:r>
      <w:r>
        <w:t xml:space="preserve">curation</w:t>
      </w:r>
      <w:r>
        <w:t xml:space="preserve"> </w:t>
      </w:r>
      <w:r>
        <w:rPr>
          <w:rStyle w:val="FootnoteReference"/>
        </w:rPr>
        <w:footnoteReference w:id="48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numPr>
          <w:ilvl w:val="1"/>
          <w:numId w:val="1006"/>
        </w:numPr>
        <w:pStyle w:val="Compact"/>
      </w:pPr>
      <w:r>
        <w:t xml:space="preserve">The work runs a genome-wide CRISPR screen (in K562 cancer cells) using vitamins</w:t>
      </w:r>
      <w:r>
        <w:t xml:space="preserve"> </w:t>
      </w:r>
      <w:r>
        <w:rPr>
          <w:bCs/>
          <w:b/>
        </w:rPr>
        <w:t xml:space="preserve">B2 and B3</w:t>
      </w:r>
      <w:r>
        <w:t xml:space="preserve"> </w:t>
      </w:r>
      <w:r>
        <w:t xml:space="preserve">to identify genetic diseases responsive to vitamin supplementation;</w:t>
      </w:r>
      <w:r>
        <w:t xml:space="preserve"> </w:t>
      </w:r>
      <w:r>
        <w:rPr>
          <w:bCs/>
          <w:b/>
        </w:rPr>
        <w:t xml:space="preserve">NAXD</w:t>
      </w:r>
      <w:r>
        <w:t xml:space="preserve"> </w:t>
      </w:r>
      <w:r>
        <w:t xml:space="preserve">emerged as the top hit for vitamin</w:t>
      </w:r>
      <w:r>
        <w:t xml:space="preserve"> </w:t>
      </w:r>
      <w:r>
        <w:rPr>
          <w:bCs/>
          <w:b/>
        </w:rPr>
        <w:t xml:space="preserve">B3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The team reports that adding vitamin B3 to knockout mice food from birth increased lifespan</w:t>
      </w:r>
      <w:r>
        <w:t xml:space="preserve"> </w:t>
      </w:r>
      <w:r>
        <w:rPr>
          <w:bCs/>
          <w:b/>
        </w:rPr>
        <w:t xml:space="preserve">more than 40-fold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concrete example of how</w:t>
      </w:r>
      <w:r>
        <w:t xml:space="preserve"> </w:t>
      </w:r>
      <w:r>
        <w:t xml:space="preserve">“</w:t>
      </w:r>
      <w:r>
        <w:t xml:space="preserve">vitamin biology</w:t>
      </w:r>
      <w:r>
        <w:t xml:space="preserve">”</w:t>
      </w:r>
      <w:r>
        <w:t xml:space="preserve"> </w:t>
      </w:r>
      <w:r>
        <w:t xml:space="preserve">may still contain</w:t>
      </w:r>
      <w:r>
        <w:t xml:space="preserve"> </w:t>
      </w:r>
      <w:r>
        <w:t xml:space="preserve">“</w:t>
      </w:r>
      <w:r>
        <w:t xml:space="preserve">unexplored territory in nutritional genomics,</w:t>
      </w:r>
      <w:r>
        <w:t xml:space="preserve">”</w:t>
      </w:r>
      <w:r>
        <w:t xml:space="preserve"> </w:t>
      </w:r>
      <w:r>
        <w:t xml:space="preserve">and it raises the question of how many diseases might be addressable through similar supplementation strategies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pStyle w:val="FirstParagraph"/>
      </w:pPr>
      <w:r>
        <w:t xml:space="preserve">Additional source links surfaced alongside the recommendation:</w:t>
      </w:r>
      <w:r>
        <w:t xml:space="preserve"> </w:t>
      </w:r>
      <w:r>
        <w:t xml:space="preserve">- Arc Institute blogpost: https://arcinstitute.org/news/vitamin-hunters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- Arc Institute X thread: https://x.com/arcinstitute/status/2026691239400370666?s=20</w:t>
      </w:r>
      <w:r>
        <w:t xml:space="preserve"> </w:t>
      </w:r>
      <w:r>
        <w:rPr>
          <w:rStyle w:val="FootnoteReference"/>
        </w:rPr>
        <w:footnoteReference w:id="53"/>
      </w:r>
    </w:p>
    <w:bookmarkEnd w:id="54"/>
    <w:bookmarkEnd w:id="55"/>
    <w:bookmarkStart w:id="62" w:name="history-as-a-prompt-not-a-thesis"/>
    <w:p>
      <w:pPr>
        <w:pStyle w:val="Heading2"/>
      </w:pPr>
      <w:r>
        <w:t xml:space="preserve">History (as a prompt, not a thesis)</w:t>
      </w:r>
    </w:p>
    <w:bookmarkStart w:id="61" w:name="X882b2850ca00aabfaacf719e09ae8f96c280876"/>
    <w:p>
      <w:pPr>
        <w:pStyle w:val="Heading3"/>
      </w:pPr>
      <w:r>
        <w:rPr>
          <w:bCs/>
          <w:b/>
        </w:rPr>
        <w:t xml:space="preserve">“</w:t>
      </w:r>
      <w:r>
        <w:rPr>
          <w:bCs/>
          <w:b/>
        </w:rPr>
        <w:t xml:space="preserve">Secret History</w:t>
      </w:r>
      <w:r>
        <w:rPr>
          <w:bCs/>
          <w:b/>
        </w:rPr>
        <w:t xml:space="preserve">”</w:t>
      </w:r>
      <w:r>
        <w:t xml:space="preserve"> </w:t>
      </w:r>
      <w:r>
        <w:t xml:space="preserve">(article/blog post) — Steve Blank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</w:t>
      </w:r>
      <w:r>
        <w:t xml:space="preserve">: https://steveblank.com/secret-history/</w:t>
      </w:r>
      <w:r>
        <w:t xml:space="preserve"> </w:t>
      </w:r>
      <w:r>
        <w:rPr>
          <w:rStyle w:val="FootnoteReference"/>
        </w:rPr>
        <w:footnoteReference w:id="56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Recommended by</w:t>
      </w:r>
      <w:r>
        <w:t xml:space="preserve">: Keith Rabois (X)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Rabois frames it as</w:t>
      </w:r>
      <w:r>
        <w:t xml:space="preserve"> </w:t>
      </w:r>
      <w:r>
        <w:t xml:space="preserve">“</w:t>
      </w:r>
      <w:r>
        <w:t xml:space="preserve">Time for some of you to learn history</w:t>
      </w:r>
      <w:r>
        <w:t xml:space="preserve">”</w:t>
      </w:r>
      <w:r>
        <w:t xml:space="preserve"> </w:t>
      </w:r>
      <w:r>
        <w:t xml:space="preserve">and points directly to Blank’s post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</w:t>
      </w:r>
      <w:r>
        <w:t xml:space="preserve">: A direct nudge from an investor to revisit a specific historical account—useful when you want to anchor current debates in prior cycles rather than novelty alone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bookmarkEnd w:id="61"/>
    <w:bookmarkEnd w:id="62"/>
    <w:bookmarkStart w:id="68" w:name="X481ee38510df67837c28189e2303a06df694417"/>
    <w:p>
      <w:pPr>
        <w:pStyle w:val="Heading2"/>
      </w:pPr>
      <w:r>
        <w:t xml:space="preserve">Lower-signal but notable: a book recommendation framed as a gift</w:t>
      </w:r>
    </w:p>
    <w:bookmarkStart w:id="66" w:name="running-down-a-dream-book-bill-gurley"/>
    <w:p>
      <w:pPr>
        <w:pStyle w:val="Heading3"/>
      </w:pPr>
      <w:r>
        <w:rPr>
          <w:bCs/>
          <w:b/>
        </w:rPr>
        <w:t xml:space="preserve">Running Down a Dream</w:t>
      </w:r>
      <w:r>
        <w:t xml:space="preserve"> </w:t>
      </w:r>
      <w:r>
        <w:t xml:space="preserve">(book) — Bill Gurley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Recommended by</w:t>
      </w:r>
      <w:r>
        <w:t xml:space="preserve">: Jason Calacanis (with agreement from Chamath) on a YouTube podcast episode</w:t>
      </w:r>
      <w:r>
        <w:t xml:space="preserve"> </w:t>
      </w:r>
      <w:r>
        <w:rPr>
          <w:rStyle w:val="FootnoteReference"/>
        </w:rPr>
        <w:footnoteReference w:id="63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Calacanis calls it an</w:t>
      </w:r>
      <w:r>
        <w:t xml:space="preserve"> </w:t>
      </w:r>
      <w:r>
        <w:t xml:space="preserve">“</w:t>
      </w:r>
      <w:r>
        <w:t xml:space="preserve">amazing new book,</w:t>
      </w:r>
      <w:r>
        <w:t xml:space="preserve">”</w:t>
      </w:r>
      <w:r>
        <w:t xml:space="preserve"> </w:t>
      </w:r>
      <w:r>
        <w:t xml:space="preserve">urges people to</w:t>
      </w:r>
      <w:r>
        <w:t xml:space="preserve"> </w:t>
      </w:r>
      <w:r>
        <w:t xml:space="preserve">“</w:t>
      </w:r>
      <w:r>
        <w:t xml:space="preserve">buy three copies</w:t>
      </w:r>
      <w:r>
        <w:t xml:space="preserve">”</w:t>
      </w:r>
      <w:r>
        <w:t xml:space="preserve"> </w:t>
      </w:r>
      <w:r>
        <w:t xml:space="preserve">to give to</w:t>
      </w:r>
      <w:r>
        <w:t xml:space="preserve"> </w:t>
      </w:r>
      <w:r>
        <w:t xml:space="preserve">“</w:t>
      </w:r>
      <w:r>
        <w:t xml:space="preserve">two young people and a parent,</w:t>
      </w:r>
      <w:r>
        <w:t xml:space="preserve">”</w:t>
      </w:r>
      <w:r>
        <w:t xml:space="preserve"> </w:t>
      </w:r>
      <w:r>
        <w:t xml:space="preserve">and describes it as</w:t>
      </w:r>
      <w:r>
        <w:t xml:space="preserve"> </w:t>
      </w:r>
      <w:r>
        <w:t xml:space="preserve">“</w:t>
      </w:r>
      <w:r>
        <w:t xml:space="preserve">inspiring for kids</w:t>
      </w:r>
      <w:r>
        <w:t xml:space="preserve">”</w:t>
      </w:r>
      <w:r>
        <w:t xml:space="preserve">; Chamath adds:</w:t>
      </w:r>
      <w:r>
        <w:t xml:space="preserve"> </w:t>
      </w:r>
      <w:r>
        <w:t xml:space="preserve">“</w:t>
      </w:r>
      <w:r>
        <w:t xml:space="preserve">this book is incredible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</w:t>
      </w:r>
      <w:r>
        <w:t xml:space="preserve">: While the endorsement is strong, it’s light on specifics; the clearest signal here is</w:t>
      </w:r>
      <w:r>
        <w:t xml:space="preserve"> </w:t>
      </w:r>
      <w:r>
        <w:rPr>
          <w:iCs/>
          <w:i/>
        </w:rPr>
        <w:t xml:space="preserve">intended audience and use</w:t>
      </w:r>
      <w:r>
        <w:t xml:space="preserve">: a book they see as worth distributing to younger readers and families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6"/>
    <w:bookmarkStart w:id="6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21">
        <w:r>
          <w:rPr>
            <w:rStyle w:val="Hyperlink"/>
          </w:rPr>
          <w:t xml:space="preserve">Weekly Dose of Optimism #182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  <w:p>
      <w:pPr>
        <w:numPr>
          <w:ilvl w:val="0"/>
          <w:numId w:val="1009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  <w:bookmarkEnd w:id="67"/>
    <w:bookmarkEnd w:id="68"/>
    <w:bookmarkEnd w:id="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Weekly Dose of Optimism #182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Software Stocks Implode, Claude’s Hit List, State of the Union Reactions, Trump’s Tariff Pivot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1" Target="media/rId41.jpg" /><Relationship Type="http://schemas.openxmlformats.org/officeDocument/2006/relationships/hyperlink" Id="rId21" Target="https://www.notboring.co/p/weekly-dose-of-optimism-182" TargetMode="External" /><Relationship Type="http://schemas.openxmlformats.org/officeDocument/2006/relationships/hyperlink" Id="rId38" Target="https://www.youtube.com/watch?v=kzWbCF_IkHY" TargetMode="External" /><Relationship Type="http://schemas.openxmlformats.org/officeDocument/2006/relationships/hyperlink" Id="rId57" Target="https://x.com/rabois/status/2027537884803211354" TargetMode="External" /><Relationship Type="http://schemas.openxmlformats.org/officeDocument/2006/relationships/hyperlink" Id="rId44" Target="https://youtube.com/watch?v=kzWbCF_IkHY&amp;t=6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notboring.co/p/weekly-dose-of-optimism-182" TargetMode="External" /><Relationship Type="http://schemas.openxmlformats.org/officeDocument/2006/relationships/hyperlink" Id="rId38" Target="https://www.youtube.com/watch?v=kzWbCF_IkHY" TargetMode="External" /><Relationship Type="http://schemas.openxmlformats.org/officeDocument/2006/relationships/hyperlink" Id="rId57" Target="https://x.com/rabois/status/2027537884803211354" TargetMode="External" /><Relationship Type="http://schemas.openxmlformats.org/officeDocument/2006/relationships/hyperlink" Id="rId44" Target="https://youtube.com/watch?v=kzWbCF_IkHY&amp;t=6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Progress, permissions, and evidence: Stripe’s agentic-commerce framework, an AI narrative check, and a nutrigenomics breakthrough</dc:title>
  <dc:creator>Recommended Reading from Tech Founders</dc:creator>
  <cp:keywords/>
  <dcterms:created xsi:type="dcterms:W3CDTF">2026-02-28T22:36:28Z</dcterms:created>
  <dcterms:modified xsi:type="dcterms:W3CDTF">2026-02-28T22:36:28Z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2026-02-28</vt:lpwstr>
  </property>
</Properties>
</file>