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Retail Spend Examples and Lightning Relay Growth Broaden Bitcoin Payment Use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2026-06-30</w:t>
      </w:r>
    </w:p>
    <w:bookmarkStart w:id="43" w:name="X701756d9ea0d4c910363335c0cc4421611c0d84"/>
    <w:p>
      <w:pPr>
        <w:pStyle w:val="Heading1"/>
      </w:pPr>
      <w:r>
        <w:t xml:space="preserve">Retail Spend Examples and Lightning Relay Growth Broaden Bitcoin Payment Use</w:t>
      </w:r>
    </w:p>
    <w:p>
      <w:pPr>
        <w:pStyle w:val="FirstParagraph"/>
      </w:pPr>
      <w:r>
        <w:rPr>
          <w:iCs/>
          <w:i/>
        </w:rPr>
        <w:t xml:space="preserve">By Bitcoin Payment Adoption Tracker • June 30, 2026</w:t>
      </w:r>
    </w:p>
    <w:p>
      <w:pPr>
        <w:pStyle w:val="BodyText"/>
      </w:pPr>
      <w:r>
        <w:t xml:space="preserve">This brief covers a BTCMap-linked retail purchase example, a Burundi Bitcoin/BIF exchange demonstration, Kenya-focused wallet-flow improvements, and Lightning Enable’s growth in L402-based service discovery. It also notes the absence of new regulatory changes or transaction-volume disclosures.</w:t>
      </w:r>
    </w:p>
    <w:bookmarkStart w:id="22" w:name="major-adoption-news"/>
    <w:p>
      <w:pPr>
        <w:pStyle w:val="Heading2"/>
      </w:pPr>
      <w:r>
        <w:t xml:space="preserve">Major Adoption News</w:t>
      </w:r>
    </w:p>
    <w:bookmarkStart w:id="20" w:name="X1616a82207c1ec979e9e1dffe70e7eb04dfb87c"/>
    <w:p>
      <w:pPr>
        <w:pStyle w:val="Heading3"/>
      </w:pPr>
      <w:r>
        <w:t xml:space="preserve">Burundi — Bitcoin/BIF bridge demonstrated through mysatoshis.bi</w:t>
      </w:r>
    </w:p>
    <w:p>
      <w:pPr>
        <w:pStyle w:val="FirstParagraph"/>
      </w:pPr>
      <w:r>
        <w:t xml:space="preserve">A Burundi-based demonstration showed participants using</w:t>
      </w:r>
      <w:r>
        <w:t xml:space="preserve"> </w:t>
      </w:r>
      <w:r>
        <w:rPr>
          <w:rStyle w:val="VerbatimChar"/>
        </w:rPr>
        <w:t xml:space="preserve">mysatoshis.bi</w:t>
      </w:r>
      <w:r>
        <w:t xml:space="preserve"> </w:t>
      </w:r>
      <w:r>
        <w:t xml:space="preserve">for direct peer-to-peer exchange between Bitcoin and Burundian Francs (BIF), described as moving</w:t>
      </w:r>
      <w:r>
        <w:t xml:space="preserve"> </w:t>
      </w:r>
      <w:r>
        <w:t xml:space="preserve">“</w:t>
      </w:r>
      <w:r>
        <w:t xml:space="preserve">from theory to action</w:t>
      </w:r>
      <w:r>
        <w:t xml:space="preserve">”</w:t>
      </w:r>
      <w:r>
        <w:t xml:space="preserve"> </w:t>
      </w:r>
      <w:r>
        <w:t xml:space="preserve">in bridging local currency and Bitcoin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use case is payments-relevant because it shows a direct bridge between Bitcoin and local currency rather than a closed Bitcoin-only flow [1].</w:t>
      </w:r>
    </w:p>
    <w:bookmarkEnd w:id="20"/>
    <w:bookmarkStart w:id="21" w:name="X68b62fe1e35e34b199bada0f8320ccc4088e965"/>
    <w:p>
      <w:pPr>
        <w:pStyle w:val="Heading3"/>
      </w:pPr>
      <w:r>
        <w:t xml:space="preserve">Geography not specified in the source post — Richland general shop accepts sats</w:t>
      </w:r>
    </w:p>
    <w:p>
      <w:pPr>
        <w:pStyle w:val="FirstParagraph"/>
      </w:pPr>
      <w:r>
        <w:t xml:space="preserve">BitBiashara documented a purchase of eggs at</w:t>
      </w:r>
      <w:r>
        <w:t xml:space="preserve"> </w:t>
      </w:r>
      <w:r>
        <w:rPr>
          <w:bCs/>
          <w:b/>
        </w:rPr>
        <w:t xml:space="preserve">Richland general shop</w:t>
      </w:r>
      <w:r>
        <w:t xml:space="preserve"> </w:t>
      </w:r>
      <w:r>
        <w:t xml:space="preserve">using sats, and the merchant was published with a BTCMap listing and the contact</w:t>
      </w:r>
      <w:r>
        <w:t xml:space="preserve"> </w:t>
      </w:r>
      <w:r>
        <w:rPr>
          <w:rStyle w:val="VerbatimChar"/>
        </w:rPr>
        <w:t xml:space="preserve">richlandgeneralshop@blink.sv</w:t>
      </w:r>
      <w:r>
        <w:t xml:space="preserve"> </w:t>
      </w:r>
      <w:r>
        <w:t xml:space="preserve">[2].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straightforward retail acceptance for a low-ticket everyday purchase, with merchant discoverability strengthened by the attached BTCMap entry [2].</w:t>
      </w:r>
    </w:p>
    <w:bookmarkEnd w:id="21"/>
    <w:bookmarkEnd w:id="22"/>
    <w:bookmarkStart w:id="25" w:name="payment-infrastructure"/>
    <w:p>
      <w:pPr>
        <w:pStyle w:val="Heading2"/>
      </w:pPr>
      <w:r>
        <w:t xml:space="preserve">Payment Infrastructure</w:t>
      </w:r>
    </w:p>
    <w:bookmarkStart w:id="23" w:name="X606798859adc5bec725dde9386b9d0af462d67e"/>
    <w:p>
      <w:pPr>
        <w:pStyle w:val="Heading3"/>
      </w:pPr>
      <w:r>
        <w:t xml:space="preserve">Kenya — Tando and BuhoGo reduce LNURL payment friction</w:t>
      </w:r>
    </w:p>
    <w:p>
      <w:pPr>
        <w:pStyle w:val="FirstParagraph"/>
      </w:pPr>
      <w:r>
        <w:t xml:space="preserve">A Tando-related post highlighted BuhoGo wallet auto-detecting a phone number and automatically filling the domain to complete an LNURL payment [3]. In a related exchange, a post said the setup had been enabled for Kenya using Tando [4]. Another post proposed LUD-09 support so the sender could receive a link to an M-Pesa receipt after payment [5].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updates target two practical friction points in a Kenya-oriented payment flow: payee entry and post-payment confirmation [3, 4, 5].</w:t>
      </w:r>
    </w:p>
    <w:bookmarkEnd w:id="23"/>
    <w:bookmarkStart w:id="24" w:name="X6cbac124833e6b69945e6d47c59e66a4c27bd5d"/>
    <w:p>
      <w:pPr>
        <w:pStyle w:val="Heading3"/>
      </w:pPr>
      <w:r>
        <w:t xml:space="preserve">Global — Lightning Enable expands relay-based paid-service discovery</w:t>
      </w:r>
    </w:p>
    <w:p>
      <w:pPr>
        <w:pStyle w:val="FirstParagraph"/>
      </w:pPr>
      <w:r>
        <w:t xml:space="preserve">Lightning Enable said agents can settle payments over Lightning using</w:t>
      </w:r>
      <w:r>
        <w:t xml:space="preserve"> </w:t>
      </w:r>
      <w:r>
        <w:rPr>
          <w:bCs/>
          <w:b/>
        </w:rPr>
        <w:t xml:space="preserve">L402</w:t>
      </w:r>
      <w:r>
        <w:t xml:space="preserve"> </w:t>
      </w:r>
      <w:r>
        <w:t xml:space="preserve">[6]. It also said its agent relay now has</w:t>
      </w:r>
      <w:r>
        <w:t xml:space="preserve"> </w:t>
      </w:r>
      <w:r>
        <w:rPr>
          <w:bCs/>
          <w:b/>
        </w:rPr>
        <w:t xml:space="preserve">99 live capability events</w:t>
      </w:r>
      <w:r>
        <w:t xml:space="preserve">, including</w:t>
      </w:r>
      <w:r>
        <w:t xml:space="preserve"> </w:t>
      </w:r>
      <w:r>
        <w:rPr>
          <w:bCs/>
          <w:b/>
        </w:rPr>
        <w:t xml:space="preserve">65+ third-party service listings</w:t>
      </w:r>
      <w:r>
        <w:t xml:space="preserve"> </w:t>
      </w:r>
      <w:r>
        <w:t xml:space="preserve">from Sats4AI, allowing agents to discover paid services through standard Nostr relay queries instead of a central marketplace or API directory [6].</w:t>
      </w:r>
    </w:p>
    <w:p>
      <w:pPr>
        <w:pStyle w:val="BlockText"/>
      </w:pPr>
      <w:r>
        <w:t xml:space="preserve">“</w:t>
      </w:r>
      <w:r>
        <w:t xml:space="preserve">Open agent commerce should not require every agent to register with the same company. It should work like the internet: keys, relays, signed messages, and payments.</w:t>
      </w:r>
      <w:r>
        <w:t xml:space="preserve">”</w:t>
      </w:r>
      <w:r>
        <w:t xml:space="preserve"> </w:t>
      </w:r>
      <w:r>
        <w:t xml:space="preserve">[6]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extends Bitcoin payment infrastructure beyond consumer checkout into machine-to-machine service payments, while keeping discovery and settlement tied to open relay queries and Lightning payments [6].</w:t>
      </w:r>
    </w:p>
    <w:bookmarkEnd w:id="24"/>
    <w:bookmarkEnd w:id="25"/>
    <w:bookmarkStart w:id="29" w:name="regulatory-landscape"/>
    <w:p>
      <w:pPr>
        <w:pStyle w:val="Heading2"/>
      </w:pPr>
      <w:r>
        <w:t xml:space="preserve">Regulatory Landscape</w:t>
      </w:r>
    </w:p>
    <w:bookmarkStart w:id="26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legal, tax, licensing, or enforcement changes affecting Bitcoin payments were cited in the supplied material for African markets.</w:t>
      </w:r>
    </w:p>
    <w:bookmarkEnd w:id="26"/>
    <w:bookmarkStart w:id="27" w:name="latin-america"/>
    <w:p>
      <w:pPr>
        <w:pStyle w:val="Heading3"/>
      </w:pPr>
      <w:r>
        <w:t xml:space="preserve">Latin America</w:t>
      </w:r>
    </w:p>
    <w:p>
      <w:pPr>
        <w:pStyle w:val="FirstParagraph"/>
      </w:pPr>
      <w:r>
        <w:t xml:space="preserve">No regulatory changes affecting Bitcoin payments were cited in the supplied material for Latin American markets.</w:t>
      </w:r>
    </w:p>
    <w:bookmarkEnd w:id="27"/>
    <w:bookmarkStart w:id="28" w:name="global-infrastructure"/>
    <w:p>
      <w:pPr>
        <w:pStyle w:val="Heading3"/>
      </w:pPr>
      <w:r>
        <w:t xml:space="preserve">Global infrastructure</w:t>
      </w:r>
    </w:p>
    <w:p>
      <w:pPr>
        <w:pStyle w:val="FirstParagraph"/>
      </w:pPr>
      <w:r>
        <w:t xml:space="preserve">No policy or compliance changes were cited for the payment infrastructure updates covered here.</w:t>
      </w:r>
    </w:p>
    <w:bookmarkEnd w:id="28"/>
    <w:bookmarkEnd w:id="29"/>
    <w:bookmarkStart w:id="30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supplied material did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include transaction-volume totals, merchant growth rates, or active-user counts.</w:t>
      </w:r>
    </w:p>
    <w:p>
      <w:pPr>
        <w:pStyle w:val="BodyText"/>
      </w:pPr>
      <w:r>
        <w:t xml:space="preserve">The clearest quantitative signals were: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Global:</w:t>
      </w:r>
      <w:r>
        <w:t xml:space="preserve"> </w:t>
      </w:r>
      <w:r>
        <w:t xml:space="preserve">Lightning Enable said its relay had</w:t>
      </w:r>
      <w:r>
        <w:t xml:space="preserve"> </w:t>
      </w:r>
      <w:r>
        <w:rPr>
          <w:bCs/>
          <w:b/>
        </w:rPr>
        <w:t xml:space="preserve">99 live capability events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65+ third-party service listings</w:t>
      </w:r>
      <w:r>
        <w:t xml:space="preserve"> </w:t>
      </w:r>
      <w:r>
        <w:t xml:space="preserve">[6]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 / Burundi / Paraguay:</w:t>
      </w:r>
      <w:r>
        <w:t xml:space="preserve"> </w:t>
      </w:r>
      <w:r>
        <w:t xml:space="preserve">the updates were operational or educational, but did not disclose payment counts, user totals, or merchant aggregates [4, 1, 7]</w:t>
      </w:r>
    </w:p>
    <w:bookmarkEnd w:id="30"/>
    <w:bookmarkStart w:id="33" w:name="emerging-markets"/>
    <w:p>
      <w:pPr>
        <w:pStyle w:val="Heading2"/>
      </w:pPr>
      <w:r>
        <w:t xml:space="preserve">Emerging Markets</w:t>
      </w:r>
    </w:p>
    <w:bookmarkStart w:id="31" w:name="X32e9f652825760698c0c9281fcf9b76380b518e"/>
    <w:p>
      <w:pPr>
        <w:pStyle w:val="Heading3"/>
      </w:pPr>
      <w:r>
        <w:t xml:space="preserve">Paraguay — Lightning payment education at Asu Bitcoin Meetup</w:t>
      </w:r>
    </w:p>
    <w:p>
      <w:pPr>
        <w:pStyle w:val="FirstParagraph"/>
      </w:pPr>
      <w:r>
        <w:t xml:space="preserve">Bitcoin Paraguay announced a dedicated Lightning Network workshop at Asu Bitcoin Meetup covering what Lightning is, what problem it solves, and how to use it to send and receive payments quickly and easily [7].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not a merchant-integration announcement, but it directly supports payment adoption by teaching practical send/receive workflows to newer users [7].</w:t>
      </w:r>
    </w:p>
    <w:bookmarkEnd w:id="31"/>
    <w:bookmarkStart w:id="32" w:name="Xe92ae64ce4aa694f24fcda8f520cf8ab2da6b52"/>
    <w:p>
      <w:pPr>
        <w:pStyle w:val="Heading3"/>
      </w:pPr>
      <w:r>
        <w:t xml:space="preserve">Kenya — Localized payment UX around phone numbers and M-Pesa receipts</w:t>
      </w:r>
    </w:p>
    <w:p>
      <w:pPr>
        <w:pStyle w:val="FirstParagraph"/>
      </w:pPr>
      <w:r>
        <w:t xml:space="preserve">The Kenya-related Tando discussion centered on phone-number-based LNURL completion in BuhoGo and the possibility of returning an M-Pesa receipt link through LUD-09 support [3, 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work is tailored to a mobile-money context rather than generic wallet functionality, which is relevant to Bitcoin payment usability in a developing-market setting [3, 5].</w:t>
      </w:r>
    </w:p>
    <w:bookmarkEnd w:id="32"/>
    <w:bookmarkEnd w:id="33"/>
    <w:bookmarkStart w:id="42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strongest signals in this batch were</w:t>
      </w:r>
      <w:r>
        <w:t xml:space="preserve"> </w:t>
      </w:r>
      <w:r>
        <w:rPr>
          <w:bCs/>
          <w:b/>
        </w:rPr>
        <w:t xml:space="preserve">grassroots and infrastructure-led</w:t>
      </w:r>
      <w:r>
        <w:t xml:space="preserve"> </w:t>
      </w:r>
      <w:r>
        <w:t xml:space="preserve">rather than enterprise-scale: a mapped retail purchase at Richland general shop, a Burundi demo linking Bitcoin with BIF, Kenya-focused payment-flow refinements, and global growth in Lightning-based service discovery [2, 1, 3, 5, 6].</w:t>
      </w:r>
    </w:p>
    <w:p>
      <w:pPr>
        <w:pStyle w:val="BodyText"/>
      </w:pPr>
      <w:r>
        <w:t xml:space="preserve">What remains missing is measurement and policy detail. The supplied material did not add transaction totals, merchant-growth statistics, or regulatory changes, so the clearest read is continued progress through small merchant examples, local-currency bridges, and usability improvements rather than large disclosed rollouts [2, 1, 3, 6].</w:t>
      </w:r>
    </w:p>
    <w:p>
      <w:r>
        <w:pict>
          <v:rect style="width:0;height:1.5pt" o:hralign="center" o:hrstd="t" o:hr="t"/>
        </w:pict>
      </w:r>
    </w:p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@mysatoshi257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@DrShift3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@lightningenable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@BTCParaguay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s://x.com/BTCParaguay/status/2071683128997916806" TargetMode="External" /><Relationship Type="http://schemas.openxmlformats.org/officeDocument/2006/relationships/hyperlink" Id="rId35" Target="https://x.com/BitBiashara/status/2071668285934858319" TargetMode="External" /><Relationship Type="http://schemas.openxmlformats.org/officeDocument/2006/relationships/hyperlink" Id="rId37" Target="https://x.com/DrShift3/status/2064370092620550456" TargetMode="External" /><Relationship Type="http://schemas.openxmlformats.org/officeDocument/2006/relationships/hyperlink" Id="rId39" Target="https://x.com/lightningenable/status/2071674788049760579" TargetMode="External" /><Relationship Type="http://schemas.openxmlformats.org/officeDocument/2006/relationships/hyperlink" Id="rId34" Target="https://x.com/mysatoshi257/status/2071497034629009448" TargetMode="External" /><Relationship Type="http://schemas.openxmlformats.org/officeDocument/2006/relationships/hyperlink" Id="rId36" Target="https://x.com/tando_me/status/2071506494378352964" TargetMode="External" /><Relationship Type="http://schemas.openxmlformats.org/officeDocument/2006/relationships/hyperlink" Id="rId38" Target="https://x.com/tando_me/status/207150759076108293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x.com/BTCParaguay/status/2071683128997916806" TargetMode="External" /><Relationship Type="http://schemas.openxmlformats.org/officeDocument/2006/relationships/hyperlink" Id="rId35" Target="https://x.com/BitBiashara/status/2071668285934858319" TargetMode="External" /><Relationship Type="http://schemas.openxmlformats.org/officeDocument/2006/relationships/hyperlink" Id="rId37" Target="https://x.com/DrShift3/status/2064370092620550456" TargetMode="External" /><Relationship Type="http://schemas.openxmlformats.org/officeDocument/2006/relationships/hyperlink" Id="rId39" Target="https://x.com/lightningenable/status/2071674788049760579" TargetMode="External" /><Relationship Type="http://schemas.openxmlformats.org/officeDocument/2006/relationships/hyperlink" Id="rId34" Target="https://x.com/mysatoshi257/status/2071497034629009448" TargetMode="External" /><Relationship Type="http://schemas.openxmlformats.org/officeDocument/2006/relationships/hyperlink" Id="rId36" Target="https://x.com/tando_me/status/2071506494378352964" TargetMode="External" /><Relationship Type="http://schemas.openxmlformats.org/officeDocument/2006/relationships/hyperlink" Id="rId38" Target="https://x.com/tando_me/status/207150759076108293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Spend Examples and Lightning Relay Growth Broaden Bitcoin Payment Use</dc:title>
  <dc:creator>Bitcoin Payment Adoption Tracker</dc:creator>
  <cp:keywords/>
  <dcterms:created xsi:type="dcterms:W3CDTF">2026-07-03T18:25:22Z</dcterms:created>
  <dcterms:modified xsi:type="dcterms:W3CDTF">2026-07-03T18:25:22Z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2026-06-30</vt:lpwstr>
  </property>
</Properties>
</file>