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Retention “natural frequency,” AI moat shifts, and onboarding/GTM choices for AI products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2026-03-01</w:t>
      </w:r>
    </w:p>
    <w:bookmarkStart w:id="132" w:name="Xee6c108ea1f1399e2ce89fe2c900cbe9130cf42"/>
    <w:p>
      <w:pPr>
        <w:pStyle w:val="Heading1"/>
      </w:pPr>
      <w:r>
        <w:t xml:space="preserve">Retention</w:t>
      </w:r>
      <w:r>
        <w:t xml:space="preserve"> </w:t>
      </w:r>
      <w:r>
        <w:t xml:space="preserve">“</w:t>
      </w:r>
      <w:r>
        <w:t xml:space="preserve">natural frequency,</w:t>
      </w:r>
      <w:r>
        <w:t xml:space="preserve">”</w:t>
      </w:r>
      <w:r>
        <w:t xml:space="preserve"> </w:t>
      </w:r>
      <w:r>
        <w:t xml:space="preserve">AI moat shifts, and onboarding/GTM choices for AI products</w:t>
      </w:r>
    </w:p>
    <w:p>
      <w:pPr>
        <w:pStyle w:val="FirstParagraph"/>
      </w:pPr>
      <w:r>
        <w:rPr>
          <w:iCs/>
          <w:i/>
        </w:rPr>
        <w:t xml:space="preserve">By PM Daily Digest • March 1, 2026</w:t>
      </w:r>
    </w:p>
    <w:p>
      <w:pPr>
        <w:pStyle w:val="BodyText"/>
      </w:pPr>
      <w:r>
        <w:t xml:space="preserve">This edition covers practical frameworks for building and growing AI products: a retention</w:t>
      </w:r>
      <w:r>
        <w:t xml:space="preserve"> </w:t>
      </w:r>
      <w:r>
        <w:t xml:space="preserve">“</w:t>
      </w:r>
      <w:r>
        <w:t xml:space="preserve">natural frequency</w:t>
      </w:r>
      <w:r>
        <w:t xml:space="preserve">”</w:t>
      </w:r>
      <w:r>
        <w:t xml:space="preserve"> </w:t>
      </w:r>
      <w:r>
        <w:t xml:space="preserve">law, onboarding tactics for non-deterministic experiences, and how AI is shifting defensibility (data/context up, some network effects down). You’ll also get a structured approach to PM-built executable POCs, a DTC creative-iteration bottleneck hypothesis, and candid job market/interview realities.</w:t>
      </w:r>
    </w:p>
    <w:bookmarkStart w:id="45" w:name="big-ideas"/>
    <w:p>
      <w:pPr>
        <w:pStyle w:val="Heading2"/>
      </w:pPr>
      <w:r>
        <w:t xml:space="preserve">Big Ideas</w:t>
      </w:r>
    </w:p>
    <w:bookmarkStart w:id="27" w:name="X85f8e91facbd18178018c4941409e3a03c865eb"/>
    <w:p>
      <w:pPr>
        <w:pStyle w:val="Heading3"/>
      </w:pPr>
      <w:r>
        <w:t xml:space="preserve">1) Retention still follows a</w:t>
      </w:r>
      <w:r>
        <w:t xml:space="preserve"> </w:t>
      </w:r>
      <w:r>
        <w:t xml:space="preserve">“</w:t>
      </w:r>
      <w:r>
        <w:t xml:space="preserve">foundational law</w:t>
      </w:r>
      <w:r>
        <w:t xml:space="preserve">”</w:t>
      </w:r>
      <w:r>
        <w:t xml:space="preserve">: match habit frequency to the</w:t>
      </w:r>
      <w:r>
        <w:t xml:space="preserve"> </w:t>
      </w:r>
      <w:r>
        <w:rPr>
          <w:iCs/>
          <w:i/>
        </w:rPr>
        <w:t xml:space="preserve">natural frequency</w:t>
      </w:r>
      <w:r>
        <w:t xml:space="preserve"> </w:t>
      </w:r>
      <w:r>
        <w:t xml:space="preserve">of the user’s problem</w:t>
      </w:r>
    </w:p>
    <w:p>
      <w:pPr>
        <w:pStyle w:val="FirstParagraph"/>
      </w:pPr>
      <w:r>
        <w:t xml:space="preserve">A key retention framework highlighted here is that the sustainable usage frequency of a product is constrained by</w:t>
      </w:r>
      <w:r>
        <w:t xml:space="preserve"> </w:t>
      </w:r>
      <w:r>
        <w:rPr>
          <w:bCs/>
          <w:b/>
        </w:rPr>
        <w:t xml:space="preserve">how often users experience the underlying problem</w:t>
      </w:r>
      <w:r>
        <w:t xml:space="preserve"> </w:t>
      </w:r>
      <w:r>
        <w:t xml:space="preserve">(use case + audience + why you win + real-world problem cadence). Trying to force a higher frequency (e.g., turning a monthly need into a daily habit via notifications) tends to create bad experiences and churn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AI may accelerate shipping, but it doesn’t repeal the limits of habit formation; teams can grow fast, then churn just as fast if the core use case frequency is mismatched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Make</w:t>
      </w:r>
      <w:r>
        <w:t xml:space="preserve"> </w:t>
      </w:r>
      <w:r>
        <w:t xml:space="preserve">“</w:t>
      </w:r>
      <w:r>
        <w:t xml:space="preserve">natural frequency</w:t>
      </w:r>
      <w:r>
        <w:t xml:space="preserve">”</w:t>
      </w:r>
      <w:r>
        <w:t xml:space="preserve"> </w:t>
      </w:r>
      <w:r>
        <w:t xml:space="preserve">an explicit input to roadmap, lifecycle messaging, and retention goals (see Tactical Playbook).</w:t>
      </w:r>
    </w:p>
    <w:p>
      <w:pPr>
        <w:pStyle w:val="BodyText"/>
      </w:pPr>
      <w:hyperlink r:id="rId26">
        <w:r>
          <w:drawing>
            <wp:inline>
              <wp:extent cx="5334000" cy="4000500"/>
              <wp:effectExtent b="0" l="0" r="0" t="0"/>
              <wp:docPr descr="Growth and Retention in an AI-first world — Aaron Cort, Brian Balfour, Bryce Hunt, and Gaurav Vohra." title="" id="24" name="Picture"/>
              <a:graphic>
                <a:graphicData uri="http://schemas.openxmlformats.org/drawingml/2006/picture">
                  <pic:pic>
                    <pic:nvPicPr>
                      <pic:cNvPr descr="https://img.youtube.com/vi/-iXxoxc-o6o/hqdefault.jpg" id="2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Growth and Retention in an AI-first world — Aaron Cort, Brian Balfour, Bryce Hunt, and Gaurav Vohra. (3:09)</w:t>
      </w:r>
    </w:p>
    <w:p>
      <w:r>
        <w:pict>
          <v:rect style="width:0;height:1.5pt" o:hralign="center" o:hrstd="t" o:hr="t"/>
        </w:pict>
      </w:r>
    </w:p>
    <w:bookmarkEnd w:id="27"/>
    <w:bookmarkStart w:id="32" w:name="Xc59cca9b47869454fdf8e05d3eb36a92e7dbfe3"/>
    <w:p>
      <w:pPr>
        <w:pStyle w:val="Heading3"/>
      </w:pPr>
      <w:r>
        <w:t xml:space="preserve">2) AI is reshaping moats: speed is table stakes, old moats weaken, new ones (especially data/context) strengthen</w:t>
      </w:r>
    </w:p>
    <w:p>
      <w:pPr>
        <w:pStyle w:val="FirstParagraph"/>
      </w:pPr>
      <w:r>
        <w:t xml:space="preserve">One view from the discussion: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speed has become table stakes</w:t>
      </w:r>
      <w:r>
        <w:rPr>
          <w:bCs/>
          <w:b/>
        </w:rPr>
        <w:t xml:space="preserve">”</w:t>
      </w:r>
      <w:r>
        <w:t xml:space="preserve">, and we’re in a transition where some traditional moats are being weakened while new moats haven’t fully taken shape yet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</w:t>
      </w:r>
    </w:p>
    <w:p>
      <w:pPr>
        <w:pStyle w:val="BodyText"/>
      </w:pPr>
      <w:r>
        <w:t xml:space="preserve">Several moat shifts called out: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Weakened:</w:t>
      </w:r>
      <w:r>
        <w:t xml:space="preserve"> </w:t>
      </w:r>
      <w:r>
        <w:t xml:space="preserve">Some</w:t>
      </w:r>
      <w:r>
        <w:t xml:space="preserve"> </w:t>
      </w:r>
      <w:r>
        <w:rPr>
          <w:iCs/>
          <w:i/>
        </w:rPr>
        <w:t xml:space="preserve">direct network effects</w:t>
      </w:r>
      <w:r>
        <w:t xml:space="preserve"> </w:t>
      </w:r>
      <w:r>
        <w:t xml:space="preserve">in social may be weaker than assumed if AI can simulate the experience without a large human network (example given: an AI companion experience)</w:t>
      </w:r>
      <w:r>
        <w:t xml:space="preserve"> </w:t>
      </w:r>
      <w:r>
        <w:rPr>
          <w:rStyle w:val="FootnoteReference"/>
        </w:rPr>
        <w:footnoteReference w:id="29"/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Weakened:</w:t>
      </w:r>
      <w:r>
        <w:t xml:space="preserve"> </w:t>
      </w:r>
      <w:r>
        <w:t xml:space="preserve">Some</w:t>
      </w:r>
      <w:r>
        <w:t xml:space="preserve"> </w:t>
      </w:r>
      <w:r>
        <w:rPr>
          <w:iCs/>
          <w:i/>
        </w:rPr>
        <w:t xml:space="preserve">cross-side network effects</w:t>
      </w:r>
      <w:r>
        <w:t xml:space="preserve"> </w:t>
      </w:r>
      <w:r>
        <w:t xml:space="preserve">(marketplaces reducing transaction costs) may weaken when AI reduces discovery/selection costs with personalized results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Strengthened:</w:t>
      </w:r>
      <w:r>
        <w:t xml:space="preserve"> </w:t>
      </w:r>
      <w:r>
        <w:t xml:space="preserve">Certain</w:t>
      </w:r>
      <w:r>
        <w:t xml:space="preserve"> </w:t>
      </w:r>
      <w:r>
        <w:rPr>
          <w:bCs/>
          <w:b/>
        </w:rPr>
        <w:t xml:space="preserve">data network effects</w:t>
      </w:r>
      <w:r>
        <w:t xml:space="preserve"> </w:t>
      </w:r>
      <w:r>
        <w:t xml:space="preserve">and accumulation of</w:t>
      </w:r>
      <w:r>
        <w:t xml:space="preserve"> </w:t>
      </w:r>
      <w:r>
        <w:rPr>
          <w:bCs/>
          <w:b/>
        </w:rPr>
        <w:t xml:space="preserve">memory/context</w:t>
      </w:r>
      <w:r>
        <w:t xml:space="preserve"> </w:t>
      </w:r>
      <w:r>
        <w:t xml:space="preserve">are positioned as getting stronger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</w:t>
      </w:r>
      <w:r>
        <w:t xml:space="preserve"> </w:t>
      </w:r>
      <w:r>
        <w:t xml:space="preserve">“</w:t>
      </w:r>
      <w:r>
        <w:t xml:space="preserve">network effects</w:t>
      </w:r>
      <w:r>
        <w:t xml:space="preserve">”</w:t>
      </w:r>
      <w:r>
        <w:t xml:space="preserve"> </w:t>
      </w:r>
      <w:r>
        <w:t xml:space="preserve">are less defensible in some categories, PMs need to re-evaluate differentiation plans and risk (especially platform dependency).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Treat proprietary data and compounding context as first-class product strategy inputs—and pair them with distribution and onboarding choices that accelerate learning cycles.</w:t>
      </w:r>
    </w:p>
    <w:p>
      <w:r>
        <w:pict>
          <v:rect style="width:0;height:1.5pt" o:hralign="center" o:hrstd="t" o:hr="t"/>
        </w:pict>
      </w:r>
    </w:p>
    <w:bookmarkEnd w:id="32"/>
    <w:bookmarkStart w:id="39" w:name="X2e357a2450df8b6e4025d0c874ddc12fb4401c7"/>
    <w:p>
      <w:pPr>
        <w:pStyle w:val="Heading3"/>
      </w:pPr>
      <w:r>
        <w:t xml:space="preserve">3) Platform risk pattern:</w:t>
      </w:r>
      <w:r>
        <w:t xml:space="preserve"> </w:t>
      </w:r>
      <w:r>
        <w:t xml:space="preserve">“</w:t>
      </w:r>
      <w:r>
        <w:t xml:space="preserve">value exchange → escape velocity → tax/copy</w:t>
      </w:r>
      <w:r>
        <w:t xml:space="preserve">”</w:t>
      </w:r>
    </w:p>
    <w:p>
      <w:pPr>
        <w:pStyle w:val="FirstParagraph"/>
      </w:pPr>
      <w:r>
        <w:t xml:space="preserve">A historical analogy was made to Facebook’s developer platform: early generous terms and distribution helped Facebook scale, followed by pulling back terms and absorbing major use cases once they had escape velocity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 A parallel expectation was stated that OpenAI may repeat a similar pattern via a platform where the value exchange centers on</w:t>
      </w:r>
      <w:r>
        <w:t xml:space="preserve"> </w:t>
      </w:r>
      <w:r>
        <w:rPr>
          <w:bCs/>
          <w:b/>
        </w:rPr>
        <w:t xml:space="preserve">data/memory/context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you build on an emerging platform, you need a plan for what happens when the platform’s incentives change.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When evaluating platform bets, document (a) what data/context you’re handing over, and (b) what defensible asset you’re accumulating that remains valuable if the platform later</w:t>
      </w:r>
      <w:r>
        <w:t xml:space="preserve"> </w:t>
      </w:r>
      <w:r>
        <w:t xml:space="preserve">“</w:t>
      </w:r>
      <w:r>
        <w:t xml:space="preserve">taxes</w:t>
      </w:r>
      <w:r>
        <w:t xml:space="preserve">”</w:t>
      </w:r>
      <w:r>
        <w:t xml:space="preserve"> </w:t>
      </w:r>
      <w:r>
        <w:t xml:space="preserve">the ecosystem or copies top use cases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</w:t>
      </w:r>
    </w:p>
    <w:p>
      <w:pPr>
        <w:pStyle w:val="BodyText"/>
      </w:pPr>
      <w:hyperlink r:id="rId38">
        <w:r>
          <w:drawing>
            <wp:inline>
              <wp:extent cx="5334000" cy="4000500"/>
              <wp:effectExtent b="0" l="0" r="0" t="0"/>
              <wp:docPr descr="Growth and Retention in an AI-first world — Aaron Cort, Brian Balfour, Bryce Hunt, and Gaurav Vohra." title="" id="36" name="Picture"/>
              <a:graphic>
                <a:graphicData uri="http://schemas.openxmlformats.org/drawingml/2006/picture">
                  <pic:pic>
                    <pic:nvPicPr>
                      <pic:cNvPr descr="https://img.youtube.com/vi/-iXxoxc-o6o/hqdefault.jpg" id="3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Growth and Retention in an AI-first world — Aaron Cort, Brian Balfour, Bryce Hunt, and Gaurav Vohra. (22:58)</w:t>
      </w:r>
    </w:p>
    <w:p>
      <w:r>
        <w:pict>
          <v:rect style="width:0;height:1.5pt" o:hralign="center" o:hrstd="t" o:hr="t"/>
        </w:pict>
      </w:r>
    </w:p>
    <w:bookmarkEnd w:id="39"/>
    <w:bookmarkStart w:id="44" w:name="Xafb6ecc24e5c60b9d51f599c528b1544ec31579"/>
    <w:p>
      <w:pPr>
        <w:pStyle w:val="Heading3"/>
      </w:pPr>
      <w:r>
        <w:t xml:space="preserve">4) Brand as a moat (but fragile): build</w:t>
      </w:r>
      <w:r>
        <w:t xml:space="preserve"> </w:t>
      </w:r>
      <w:r>
        <w:t xml:space="preserve">“</w:t>
      </w:r>
      <w:r>
        <w:t xml:space="preserve">taste</w:t>
      </w:r>
      <w:r>
        <w:t xml:space="preserve">”</w:t>
      </w:r>
      <w:r>
        <w:t xml:space="preserve"> </w:t>
      </w:r>
      <w:r>
        <w:t xml:space="preserve">and credible people-led signal</w:t>
      </w:r>
    </w:p>
    <w:p>
      <w:pPr>
        <w:pStyle w:val="FirstParagraph"/>
      </w:pPr>
      <w:r>
        <w:t xml:space="preserve">Brand was discussed as a potential differentiator when</w:t>
      </w:r>
      <w:r>
        <w:t xml:space="preserve"> </w:t>
      </w:r>
      <w:r>
        <w:t xml:space="preserve">“</w:t>
      </w:r>
      <w:r>
        <w:t xml:space="preserve">you can just build anything,</w:t>
      </w:r>
      <w:r>
        <w:t xml:space="preserve">”</w:t>
      </w:r>
      <w:r>
        <w:t xml:space="preserve"> </w:t>
      </w:r>
      <w:r>
        <w:t xml:space="preserve">with emphasis that brand is shaped by</w:t>
      </w:r>
      <w:r>
        <w:t xml:space="preserve"> </w:t>
      </w:r>
      <w:r>
        <w:rPr>
          <w:iCs/>
          <w:i/>
        </w:rPr>
        <w:t xml:space="preserve">everything</w:t>
      </w:r>
      <w:r>
        <w:t xml:space="preserve"> </w:t>
      </w:r>
      <w:r>
        <w:t xml:space="preserve">(UX, product quality, support, outage handling) and by developing</w:t>
      </w:r>
      <w:r>
        <w:t xml:space="preserve"> </w:t>
      </w:r>
      <w:r>
        <w:rPr>
          <w:bCs/>
          <w:b/>
        </w:rPr>
        <w:t xml:space="preserve">taste</w:t>
      </w:r>
      <w:r>
        <w:t xml:space="preserve"> </w:t>
      </w:r>
      <w:r>
        <w:t xml:space="preserve">through iterative output and market feedback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</w:t>
      </w:r>
    </w:p>
    <w:p>
      <w:pPr>
        <w:pStyle w:val="BodyText"/>
      </w:pPr>
      <w:r>
        <w:t xml:space="preserve">A nuance added: moats are time-bound and need sequencing; different moats have different ceilings and fragility, and</w:t>
      </w:r>
      <w:r>
        <w:t xml:space="preserve"> </w:t>
      </w:r>
      <w:r>
        <w:rPr>
          <w:bCs/>
          <w:b/>
        </w:rPr>
        <w:t xml:space="preserve">brand may be the most fragile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</w:t>
      </w:r>
    </w:p>
    <w:p>
      <w:pPr>
        <w:pStyle w:val="BodyText"/>
      </w:pPr>
      <w:r>
        <w:t xml:space="preserve">A tactical angle: a strong differentiator can be having the brand associated with a person at the company who actively voices informed opinions in the space—because many people increasingly look to trusted individuals for information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Speed has become table stakes.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3"/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83" w:name="tactical-playbook"/>
    <w:p>
      <w:pPr>
        <w:pStyle w:val="Heading2"/>
      </w:pPr>
      <w:r>
        <w:t xml:space="preserve">Tactical Playbook</w:t>
      </w:r>
    </w:p>
    <w:bookmarkStart w:id="51" w:name="Xc73ed2ab8d6ddff067213ed01dbc0e9cb701c36"/>
    <w:p>
      <w:pPr>
        <w:pStyle w:val="Heading3"/>
      </w:pPr>
      <w:r>
        <w:t xml:space="preserve">1) Operationalize</w:t>
      </w:r>
      <w:r>
        <w:t xml:space="preserve"> </w:t>
      </w:r>
      <w:r>
        <w:t xml:space="preserve">“</w:t>
      </w:r>
      <w:r>
        <w:t xml:space="preserve">natural frequency</w:t>
      </w:r>
      <w:r>
        <w:t xml:space="preserve">”</w:t>
      </w:r>
      <w:r>
        <w:t xml:space="preserve"> </w:t>
      </w:r>
      <w:r>
        <w:t xml:space="preserve">before you set retention goals</w:t>
      </w:r>
    </w:p>
    <w:p>
      <w:pPr>
        <w:pStyle w:val="FirstParagraph"/>
      </w:pPr>
      <w:r>
        <w:rPr>
          <w:bCs/>
          <w:b/>
        </w:rPr>
        <w:t xml:space="preserve">Goal:</w:t>
      </w:r>
      <w:r>
        <w:t xml:space="preserve"> </w:t>
      </w:r>
      <w:r>
        <w:t xml:space="preserve">Align product expectations and lifecycle design with the real cadence of the problem.</w:t>
      </w:r>
    </w:p>
    <w:p>
      <w:pPr>
        <w:pStyle w:val="BodyText"/>
      </w:pPr>
      <w:r>
        <w:rPr>
          <w:bCs/>
          <w:b/>
        </w:rPr>
        <w:t xml:space="preserve">Steps</w:t>
      </w:r>
      <w:r>
        <w:t xml:space="preserve"> </w:t>
      </w:r>
      <w:r>
        <w:t xml:space="preserve">1. Write the use case definition explicitly:</w:t>
      </w:r>
      <w:r>
        <w:t xml:space="preserve"> </w:t>
      </w:r>
      <w:r>
        <w:rPr>
          <w:iCs/>
          <w:i/>
        </w:rPr>
        <w:t xml:space="preserve">problem, who it’s for, why you win, and how often they experience it in real life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</w:t>
      </w:r>
      <w:r>
        <w:t xml:space="preserve"> </w:t>
      </w:r>
      <w:r>
        <w:t xml:space="preserve">2. Translate that cadence into an expected usage pattern (e.g., daily/weekly/monthly) and set retention goals that match it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.</w:t>
      </w:r>
      <w:r>
        <w:t xml:space="preserve"> </w:t>
      </w:r>
      <w:r>
        <w:t xml:space="preserve">3. Use expansion carefully: you can increase frequency slightly by expanding to adjacent use cases, but treat this as incremental—not a free rewrite of the core law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  <w:r>
        <w:t xml:space="preserve"> </w:t>
      </w:r>
      <w:r>
        <w:t xml:space="preserve">4. Audit</w:t>
      </w:r>
      <w:r>
        <w:t xml:space="preserve"> </w:t>
      </w:r>
      <w:r>
        <w:t xml:space="preserve">“</w:t>
      </w:r>
      <w:r>
        <w:t xml:space="preserve">frequency forcing</w:t>
      </w:r>
      <w:r>
        <w:t xml:space="preserve">”</w:t>
      </w:r>
      <w:r>
        <w:t xml:space="preserve"> </w:t>
      </w:r>
      <w:r>
        <w:t xml:space="preserve">tactics (notification spam, artificial check-ins) and remove the ones that try to violate the underlying cadence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What to measure:</w:t>
      </w:r>
      <w:r>
        <w:t xml:space="preserve"> </w:t>
      </w:r>
      <w:r>
        <w:t xml:space="preserve">Retention should be interpreted relative to your expected frequency—misaligned targets can push teams into churn-inducing behaviors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1"/>
    <w:bookmarkStart w:id="57" w:name="Xb8201eb2d723db84f6fc7fc7384b59406ae6153"/>
    <w:p>
      <w:pPr>
        <w:pStyle w:val="Heading3"/>
      </w:pPr>
      <w:r>
        <w:t xml:space="preserve">2) Onboarding for non-deterministic AI: start concierge to learn, then automate what’s worth automating</w:t>
      </w:r>
    </w:p>
    <w:p>
      <w:pPr>
        <w:pStyle w:val="FirstParagraph"/>
      </w:pPr>
      <w:r>
        <w:t xml:space="preserve">Two connected onboarding recommendations:</w:t>
      </w:r>
    </w:p>
    <w:p>
      <w:pPr>
        <w:pStyle w:val="BodyText"/>
      </w:pPr>
      <w:r>
        <w:rPr>
          <w:bCs/>
          <w:b/>
        </w:rPr>
        <w:t xml:space="preserve">A) Concierge onboarding early (to accelerate learning cycles)</w:t>
      </w:r>
      <w:r>
        <w:t xml:space="preserve"> </w:t>
      </w:r>
      <w:r>
        <w:t xml:space="preserve">- Every startup should do</w:t>
      </w:r>
      <w:r>
        <w:t xml:space="preserve"> </w:t>
      </w:r>
      <w:r>
        <w:rPr>
          <w:iCs/>
          <w:i/>
        </w:rPr>
        <w:t xml:space="preserve">some</w:t>
      </w:r>
      <w:r>
        <w:t xml:space="preserve"> </w:t>
      </w:r>
      <w:r>
        <w:t xml:space="preserve">hand-holding for initial customers to understand the customer/problem deeply and set users up for success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.</w:t>
      </w:r>
      <w:r>
        <w:t xml:space="preserve"> </w:t>
      </w:r>
      <w:r>
        <w:t xml:space="preserve">- Benefits cited: better retention likelihood, higher-quality feedback, bugs to fix, feature requests to add, and early evangelists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B) Transition to self-serve in-app ASAP (keep humans for the truly hard parts)</w:t>
      </w:r>
      <w:r>
        <w:t xml:space="preserve"> </w:t>
      </w:r>
      <w:r>
        <w:t xml:space="preserve">- Concierge onboarding is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how you scale; wind it down and build in-app onboarding that does as much of the</w:t>
      </w:r>
      <w:r>
        <w:t xml:space="preserve"> </w:t>
      </w:r>
      <w:r>
        <w:t xml:space="preserve">“</w:t>
      </w:r>
      <w:r>
        <w:t xml:space="preserve">lift</w:t>
      </w:r>
      <w:r>
        <w:t xml:space="preserve">”</w:t>
      </w:r>
      <w:r>
        <w:t xml:space="preserve"> </w:t>
      </w:r>
      <w:r>
        <w:t xml:space="preserve">as possible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.</w:t>
      </w:r>
      <w:r>
        <w:t xml:space="preserve"> </w:t>
      </w:r>
      <w:r>
        <w:t xml:space="preserve">- Keep personal support for complex items (e.g., working with data, legal/security, forward-deployed engineering needs) that are</w:t>
      </w:r>
      <w:r>
        <w:t xml:space="preserve"> </w:t>
      </w:r>
      <w:r>
        <w:t xml:space="preserve">“</w:t>
      </w:r>
      <w:r>
        <w:t xml:space="preserve">generally incredibly hard</w:t>
      </w:r>
      <w:r>
        <w:t xml:space="preserve">”</w:t>
      </w:r>
      <w:r>
        <w:t xml:space="preserve"> </w:t>
      </w:r>
      <w:r>
        <w:t xml:space="preserve">and not worth fully productizing early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this matters specifically for AI:</w:t>
      </w:r>
      <w:r>
        <w:t xml:space="preserve"> </w:t>
      </w:r>
      <w:r>
        <w:t xml:space="preserve">The onboarding motion was described as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10x more important</w:t>
      </w:r>
      <w:r>
        <w:rPr>
          <w:bCs/>
          <w:b/>
        </w:rPr>
        <w:t xml:space="preserve">”</w:t>
      </w:r>
      <w:r>
        <w:t xml:space="preserve"> </w:t>
      </w:r>
      <w:r>
        <w:t xml:space="preserve">for AI products with non-deterministic experiences, because observing real usage is crucial—and the real speed advantage is learning faster, not simply</w:t>
      </w:r>
      <w:r>
        <w:t xml:space="preserve"> </w:t>
      </w:r>
      <w:r>
        <w:t xml:space="preserve">“</w:t>
      </w:r>
      <w:r>
        <w:t xml:space="preserve">getting to market</w:t>
      </w:r>
      <w:r>
        <w:t xml:space="preserve">”</w:t>
      </w:r>
      <w:r>
        <w:t xml:space="preserve"> </w:t>
      </w:r>
      <w:r>
        <w:t xml:space="preserve">fastest</w:t>
      </w:r>
      <w:r>
        <w:t xml:space="preserve"> </w:t>
      </w:r>
      <w:r>
        <w:rPr>
          <w:rStyle w:val="FootnoteReference"/>
        </w:rPr>
        <w:footnoteReference w:id="5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7"/>
    <w:bookmarkStart w:id="65" w:name="X6bdc3fa44e32f872bf6a7fcf3c6ff8dd82dc128"/>
    <w:p>
      <w:pPr>
        <w:pStyle w:val="Heading3"/>
      </w:pPr>
      <w:r>
        <w:t xml:space="preserve">3) Design self-serve onboarding like a guided game: opinionated, interruptive, interactive</w:t>
      </w:r>
    </w:p>
    <w:p>
      <w:pPr>
        <w:pStyle w:val="FirstParagraph"/>
      </w:pPr>
      <w:r>
        <w:t xml:space="preserve">A practical in-app onboarding design trio was proposed: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Opinionated:</w:t>
      </w:r>
      <w:r>
        <w:t xml:space="preserve"> </w:t>
      </w:r>
      <w:r>
        <w:t xml:space="preserve">Tell users</w:t>
      </w:r>
      <w:r>
        <w:t xml:space="preserve"> </w:t>
      </w:r>
      <w:r>
        <w:rPr>
          <w:iCs/>
          <w:i/>
        </w:rPr>
        <w:t xml:space="preserve">how</w:t>
      </w:r>
      <w:r>
        <w:t xml:space="preserve"> </w:t>
      </w:r>
      <w:r>
        <w:t xml:space="preserve">you believe they should use the product (vs. </w:t>
      </w:r>
      <w:r>
        <w:t xml:space="preserve">“</w:t>
      </w:r>
      <w:r>
        <w:t xml:space="preserve">figure it out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.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Interruptive:</w:t>
      </w:r>
      <w:r>
        <w:t xml:space="preserve"> </w:t>
      </w:r>
      <w:r>
        <w:t xml:space="preserve">Stop users at key moments and prescribe the next steps (example: require an integration step early because</w:t>
      </w:r>
      <w:r>
        <w:t xml:space="preserve"> </w:t>
      </w:r>
      <w:r>
        <w:t xml:space="preserve">“</w:t>
      </w:r>
      <w:r>
        <w:t xml:space="preserve">everything downstream… will suck</w:t>
      </w:r>
      <w:r>
        <w:t xml:space="preserve">”</w:t>
      </w:r>
      <w:r>
        <w:t xml:space="preserve"> </w:t>
      </w:r>
      <w:r>
        <w:t xml:space="preserve">if skipped)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Interactive:</w:t>
      </w:r>
      <w:r>
        <w:t xml:space="preserve"> </w:t>
      </w:r>
      <w:r>
        <w:t xml:space="preserve">If you take agency to guide them, give something back to play with—hands-on use makes it</w:t>
      </w:r>
      <w:r>
        <w:t xml:space="preserve"> </w:t>
      </w:r>
      <w:r>
        <w:t xml:space="preserve">“</w:t>
      </w:r>
      <w:r>
        <w:t xml:space="preserve">fun</w:t>
      </w:r>
      <w:r>
        <w:t xml:space="preserve">”</w:t>
      </w:r>
      <w:r>
        <w:t xml:space="preserve"> </w:t>
      </w:r>
      <w:r>
        <w:t xml:space="preserve">and reduces drop-off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How to implement this next sprint</w:t>
      </w:r>
      <w:r>
        <w:t xml:space="preserve"> </w:t>
      </w:r>
      <w:r>
        <w:t xml:space="preserve">- Identify 1–2</w:t>
      </w:r>
      <w:r>
        <w:t xml:space="preserve"> </w:t>
      </w:r>
      <w:r>
        <w:t xml:space="preserve">“</w:t>
      </w:r>
      <w:r>
        <w:t xml:space="preserve">must-do</w:t>
      </w:r>
      <w:r>
        <w:t xml:space="preserve">”</w:t>
      </w:r>
      <w:r>
        <w:t xml:space="preserve"> </w:t>
      </w:r>
      <w:r>
        <w:t xml:space="preserve">setup steps that determine downstream success and force them into the critical path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.</w:t>
      </w:r>
      <w:r>
        <w:t xml:space="preserve"> </w:t>
      </w:r>
      <w:r>
        <w:t xml:space="preserve">- Replace passive documentation with an interactive flow that demonstrates value in-session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.</w:t>
      </w:r>
      <w:r>
        <w:t xml:space="preserve"> </w:t>
      </w:r>
      <w:r>
        <w:t xml:space="preserve">- Use early concierge onboarding calls to watch where non-determinism causes confusion, then encode those interventions into the product</w:t>
      </w:r>
      <w:r>
        <w:t xml:space="preserve"> </w:t>
      </w:r>
      <w:r>
        <w:rPr>
          <w:rStyle w:val="FootnoteReference"/>
        </w:rPr>
        <w:footnoteReference w:id="63"/>
      </w:r>
      <w:r>
        <w:rPr>
          <w:rStyle w:val="FootnoteReference"/>
        </w:rPr>
        <w:footnoteReference w:id="64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65"/>
    <w:bookmarkStart w:id="70" w:name="Xd7b354f021be581b85a9f895f9a879d7d62b4ac"/>
    <w:p>
      <w:pPr>
        <w:pStyle w:val="Heading3"/>
      </w:pPr>
      <w:r>
        <w:t xml:space="preserve">4) Pick a GTM motion that survives security/legal friction: avoid getting stuck in the middle</w:t>
      </w:r>
    </w:p>
    <w:p>
      <w:pPr>
        <w:pStyle w:val="FirstParagraph"/>
      </w:pPr>
      <w:r>
        <w:t xml:space="preserve">One perspective from the discussion: in the current market,</w:t>
      </w:r>
      <w:r>
        <w:t xml:space="preserve"> </w:t>
      </w:r>
      <w:r>
        <w:rPr>
          <w:bCs/>
          <w:b/>
        </w:rPr>
        <w:t xml:space="preserve">sales-led motions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do not work</w:t>
      </w:r>
      <w:r>
        <w:rPr>
          <w:bCs/>
          <w:b/>
        </w:rPr>
        <w:t xml:space="preserve">”</w:t>
      </w:r>
      <w:r>
        <w:t xml:space="preserve"> </w:t>
      </w:r>
      <w:r>
        <w:t xml:space="preserve">for many AI products—especially those that touch internal data—because security/legal/IT processes can take months and</w:t>
      </w:r>
      <w:r>
        <w:t xml:space="preserve"> </w:t>
      </w:r>
      <w:r>
        <w:t xml:space="preserve">“</w:t>
      </w:r>
      <w:r>
        <w:t xml:space="preserve">ruin your economics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Recommended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ends of the spectrum</w:t>
      </w:r>
      <w:r>
        <w:rPr>
          <w:bCs/>
          <w:b/>
        </w:rP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Product-led, with sales layered on</w:t>
      </w:r>
      <w:r>
        <w:t xml:space="preserve">, or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Forward-deployed engineering</w:t>
      </w:r>
      <w:r>
        <w:t xml:space="preserve"> </w:t>
      </w:r>
      <w:r>
        <w:t xml:space="preserve">(enterprise-heavy end)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Practical decision checklist</w:t>
      </w:r>
      <w:r>
        <w:t xml:space="preserve"> </w:t>
      </w:r>
      <w:r>
        <w:t xml:space="preserve">- If your product requires deep access to internal data/context, plan explicitly for the security/legal cycle time and choose a motion that can absorb it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.</w:t>
      </w:r>
      <w:r>
        <w:t xml:space="preserve"> </w:t>
      </w:r>
      <w:r>
        <w:t xml:space="preserve">- Avoid hybrid approaches that land</w:t>
      </w:r>
      <w:r>
        <w:t xml:space="preserve"> </w:t>
      </w:r>
      <w:r>
        <w:t xml:space="preserve">“</w:t>
      </w:r>
      <w:r>
        <w:t xml:space="preserve">in the middle</w:t>
      </w:r>
      <w:r>
        <w:t xml:space="preserve">”</w:t>
      </w:r>
      <w:r>
        <w:t xml:space="preserve"> </w:t>
      </w:r>
      <w:r>
        <w:t xml:space="preserve">if they can’t survive the friction and timeline uncertainty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70"/>
    <w:bookmarkStart w:id="82" w:name="X01c9c1bd67d80a0081d07f314ac4904ca7d2470"/>
    <w:p>
      <w:pPr>
        <w:pStyle w:val="Heading3"/>
      </w:pPr>
      <w:r>
        <w:t xml:space="preserve">5) Use PM-built, AI-assisted executable POCs as disposable refinement artifacts (with strict promotion rules)</w:t>
      </w:r>
    </w:p>
    <w:p>
      <w:pPr>
        <w:pStyle w:val="FirstParagraph"/>
      </w:pPr>
      <w:r>
        <w:t xml:space="preserve">A PM workflow being tested: PMs/POs create</w:t>
      </w:r>
      <w:r>
        <w:t xml:space="preserve"> </w:t>
      </w:r>
      <w:r>
        <w:rPr>
          <w:bCs/>
          <w:b/>
        </w:rPr>
        <w:t xml:space="preserve">very rapid executable POCs directly with AI</w:t>
      </w:r>
      <w:r>
        <w:t xml:space="preserve"> </w:t>
      </w:r>
      <w:r>
        <w:t xml:space="preserve">(e.g.,</w:t>
      </w:r>
      <w:r>
        <w:t xml:space="preserve"> </w:t>
      </w:r>
      <w:r>
        <w:t xml:space="preserve">“</w:t>
      </w:r>
      <w:r>
        <w:t xml:space="preserve">vibe-coded HTML/JS</w:t>
      </w:r>
      <w:r>
        <w:t xml:space="preserve">”</w:t>
      </w:r>
      <w:r>
        <w:t xml:space="preserve">) during discovery/refinement to validate workflow and value assumptions—rather than starting with mockups/wireframes</w:t>
      </w:r>
      <w:r>
        <w:t xml:space="preserve"> </w:t>
      </w:r>
      <w:r>
        <w:rPr>
          <w:rStyle w:val="FootnoteReference"/>
        </w:rPr>
        <w:footnoteReference w:id="71"/>
      </w:r>
      <w:r>
        <w:rPr>
          <w:rStyle w:val="FootnoteReference"/>
        </w:rPr>
        <w:footnoteReference w:id="73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Guardrails that make this work (and reduce organizational risk):</w:t>
      </w:r>
      <w:r>
        <w:t xml:space="preserve"> </w:t>
      </w:r>
      <w:r>
        <w:t xml:space="preserve">- These are</w:t>
      </w:r>
      <w:r>
        <w:t xml:space="preserve"> </w:t>
      </w:r>
      <w:r>
        <w:rPr>
          <w:bCs/>
          <w:b/>
        </w:rPr>
        <w:t xml:space="preserve">not dev-team sprint-built prototypes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not semi-production artifacts</w:t>
      </w:r>
      <w:r>
        <w:t xml:space="preserve"> </w:t>
      </w:r>
      <w:r>
        <w:rPr>
          <w:rStyle w:val="FootnoteReference"/>
        </w:rPr>
        <w:footnoteReference w:id="74"/>
      </w:r>
      <w:r>
        <w:rPr>
          <w:rStyle w:val="FootnoteReference"/>
        </w:rPr>
        <w:footnoteReference w:id="75"/>
      </w:r>
      <w:r>
        <w:t xml:space="preserve">.</w:t>
      </w:r>
      <w:r>
        <w:t xml:space="preserve"> </w:t>
      </w:r>
      <w:r>
        <w:t xml:space="preserve">- They should be treated as</w:t>
      </w:r>
      <w:r>
        <w:t xml:space="preserve"> </w:t>
      </w:r>
      <w:r>
        <w:rPr>
          <w:bCs/>
          <w:b/>
        </w:rPr>
        <w:t xml:space="preserve">disposable behavioral models</w:t>
      </w:r>
      <w:r>
        <w:t xml:space="preserve"> </w:t>
      </w:r>
      <w:r>
        <w:t xml:space="preserve">for fast validation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</w:t>
      </w:r>
      <w:r>
        <w:t xml:space="preserve"> </w:t>
      </w:r>
      <w:r>
        <w:t xml:space="preserve">- Keep them</w:t>
      </w:r>
      <w:r>
        <w:t xml:space="preserve"> </w:t>
      </w:r>
      <w:r>
        <w:rPr>
          <w:bCs/>
          <w:b/>
        </w:rPr>
        <w:t xml:space="preserve">isolated and non-production</w:t>
      </w:r>
      <w:r>
        <w:t xml:space="preserve"> </w:t>
      </w:r>
      <w:r>
        <w:rPr>
          <w:rStyle w:val="FootnoteReference"/>
        </w:rPr>
        <w:footnoteReference w:id="77"/>
      </w:r>
      <w:r>
        <w:t xml:space="preserve">.</w:t>
      </w:r>
      <w:r>
        <w:t xml:space="preserve"> </w:t>
      </w:r>
      <w:r>
        <w:t xml:space="preserve">- Make</w:t>
      </w:r>
      <w:r>
        <w:t xml:space="preserve"> </w:t>
      </w:r>
      <w:r>
        <w:t xml:space="preserve">“</w:t>
      </w:r>
      <w:r>
        <w:t xml:space="preserve">promotion</w:t>
      </w:r>
      <w:r>
        <w:t xml:space="preserve">”</w:t>
      </w:r>
      <w:r>
        <w:t xml:space="preserve"> </w:t>
      </w:r>
      <w:r>
        <w:t xml:space="preserve">to a committed Product Goal explicit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</w:t>
      </w:r>
      <w:r>
        <w:t xml:space="preserve"> </w:t>
      </w:r>
      <w:r>
        <w:t xml:space="preserve">- If promoted: start implementation from an</w:t>
      </w:r>
      <w:r>
        <w:t xml:space="preserve"> </w:t>
      </w:r>
      <w:r>
        <w:rPr>
          <w:bCs/>
          <w:b/>
        </w:rPr>
        <w:t xml:space="preserve">architectural reset</w:t>
      </w:r>
      <w:r>
        <w:t xml:space="preserve"> </w:t>
      </w:r>
      <w:r>
        <w:t xml:space="preserve">(do not ship POC code)</w:t>
      </w:r>
      <w:r>
        <w:t xml:space="preserve"> </w:t>
      </w:r>
      <w:r>
        <w:rPr>
          <w:rStyle w:val="FootnoteReference"/>
        </w:rPr>
        <w:footnoteReference w:id="79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How to apply tomorrow:</w:t>
      </w:r>
      <w:r>
        <w:t xml:space="preserve"> </w:t>
      </w:r>
      <w:r>
        <w:t xml:space="preserve">Create a lightweight</w:t>
      </w:r>
      <w:r>
        <w:t xml:space="preserve"> </w:t>
      </w:r>
      <w:r>
        <w:t xml:space="preserve">“</w:t>
      </w:r>
      <w:r>
        <w:t xml:space="preserve">POC promotion checklist</w:t>
      </w:r>
      <w:r>
        <w:t xml:space="preserve">”</w:t>
      </w:r>
      <w:r>
        <w:t xml:space="preserve"> </w:t>
      </w:r>
      <w:r>
        <w:t xml:space="preserve">before anyone gets attached to the artifact—so speed doesn’t turn into hidden tech debt</w:t>
      </w:r>
      <w:r>
        <w:t xml:space="preserve"> </w:t>
      </w:r>
      <w:r>
        <w:rPr>
          <w:rStyle w:val="FootnoteReference"/>
        </w:rPr>
        <w:footnoteReference w:id="80"/>
      </w:r>
      <w:r>
        <w:rPr>
          <w:rStyle w:val="FootnoteReference"/>
        </w:rPr>
        <w:footnoteReference w:id="81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82"/>
    <w:bookmarkEnd w:id="83"/>
    <w:bookmarkStart w:id="98" w:name="case-studies-lessons"/>
    <w:p>
      <w:pPr>
        <w:pStyle w:val="Heading2"/>
      </w:pPr>
      <w:r>
        <w:t xml:space="preserve">Case Studies &amp; Lessons</w:t>
      </w:r>
    </w:p>
    <w:bookmarkStart w:id="87" w:name="X60334c054895daf91d2928366a86c090dfaa9d3"/>
    <w:p>
      <w:pPr>
        <w:pStyle w:val="Heading3"/>
      </w:pPr>
      <w:r>
        <w:t xml:space="preserve">1) AI health example: proprietary data as a moat (and why trust/privacy can be part of defensibility)</w:t>
      </w:r>
    </w:p>
    <w:p>
      <w:pPr>
        <w:pStyle w:val="FirstParagraph"/>
      </w:pPr>
      <w:r>
        <w:t xml:space="preserve">A case study referenced an AI health company focused on accumulating deep proprietary health data (blood panels, doctor visit records, medical history, vaccines) in order to deliver better healthcare outputs</w:t>
      </w:r>
      <w:r>
        <w:t xml:space="preserve"> </w:t>
      </w:r>
      <w:r>
        <w:rPr>
          <w:rStyle w:val="FootnoteReference"/>
        </w:rPr>
        <w:footnoteReference w:id="84"/>
      </w:r>
      <w:r>
        <w:t xml:space="preserve">. The moat described is</w:t>
      </w:r>
      <w:r>
        <w:t xml:space="preserve"> </w:t>
      </w:r>
      <w:r>
        <w:rPr>
          <w:bCs/>
          <w:b/>
        </w:rPr>
        <w:t xml:space="preserve">proprietary data that’s hard for competitors (even large model providers) to access</w:t>
      </w:r>
      <w:r>
        <w:t xml:space="preserve">, and that users may be reluctant to hand to a large generalized player for privacy/trust reasons</w:t>
      </w:r>
      <w:r>
        <w:t xml:space="preserve"> </w:t>
      </w:r>
      <w:r>
        <w:rPr>
          <w:rStyle w:val="FootnoteReference"/>
        </w:rPr>
        <w:footnoteReference w:id="85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If your product can earn access to a hard-to-replicate dataset, data accumulation can become a compounding advantage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87"/>
    <w:bookmarkStart w:id="91" w:name="Xfd617d2fe1a1c3215371fbb4d35cfb3b95459da"/>
    <w:p>
      <w:pPr>
        <w:pStyle w:val="Heading3"/>
      </w:pPr>
      <w:r>
        <w:t xml:space="preserve">2) Social and marketplace defensibility: AI may replicate the</w:t>
      </w:r>
      <w:r>
        <w:t xml:space="preserve"> </w:t>
      </w:r>
      <w:r>
        <w:t xml:space="preserve">“</w:t>
      </w:r>
      <w:r>
        <w:t xml:space="preserve">benefit</w:t>
      </w:r>
      <w:r>
        <w:t xml:space="preserve">”</w:t>
      </w:r>
      <w:r>
        <w:t xml:space="preserve"> </w:t>
      </w:r>
      <w:r>
        <w:t xml:space="preserve">without the network</w:t>
      </w:r>
    </w:p>
    <w:p>
      <w:pPr>
        <w:pStyle w:val="FirstParagraph"/>
      </w:pPr>
      <w:r>
        <w:t xml:space="preserve">Two examples were used to illustrate moat weakening:</w:t>
      </w:r>
      <w:r>
        <w:t xml:space="preserve"> </w:t>
      </w:r>
      <w:r>
        <w:t xml:space="preserve">- In social-like contexts, an AI companion experience can generate fast</w:t>
      </w:r>
      <w:r>
        <w:t xml:space="preserve"> </w:t>
      </w:r>
      <w:r>
        <w:t xml:space="preserve">“</w:t>
      </w:r>
      <w:r>
        <w:t xml:space="preserve">dopamine effects,</w:t>
      </w:r>
      <w:r>
        <w:t xml:space="preserve">”</w:t>
      </w:r>
      <w:r>
        <w:t xml:space="preserve"> </w:t>
      </w:r>
      <w:r>
        <w:t xml:space="preserve">raising the question of whether a human network is strictly required to create the experience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</w:t>
      </w:r>
      <w:r>
        <w:t xml:space="preserve"> </w:t>
      </w:r>
      <w:r>
        <w:t xml:space="preserve">- For marketplace-like contexts, AI can reduce transaction costs by producing personalized recommendations quickly, potentially weakening the value of traditional intermediaries built around search/discovery friction</w:t>
      </w:r>
      <w:r>
        <w:t xml:space="preserve"> </w:t>
      </w:r>
      <w:r>
        <w:rPr>
          <w:rStyle w:val="FootnoteReference"/>
        </w:rPr>
        <w:footnoteReference w:id="89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When evaluating your moat, separate</w:t>
      </w:r>
      <w:r>
        <w:t xml:space="preserve"> </w:t>
      </w:r>
      <w:r>
        <w:t xml:space="preserve">“</w:t>
      </w:r>
      <w:r>
        <w:t xml:space="preserve">the experience users want</w:t>
      </w:r>
      <w:r>
        <w:t xml:space="preserve">”</w:t>
      </w:r>
      <w:r>
        <w:t xml:space="preserve"> </w:t>
      </w:r>
      <w:r>
        <w:t xml:space="preserve">from</w:t>
      </w:r>
      <w:r>
        <w:t xml:space="preserve"> </w:t>
      </w:r>
      <w:r>
        <w:t xml:space="preserve">“</w:t>
      </w:r>
      <w:r>
        <w:t xml:space="preserve">the mechanism you assumed was required to deliver it.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0"/>
      </w:r>
    </w:p>
    <w:p>
      <w:r>
        <w:pict>
          <v:rect style="width:0;height:1.5pt" o:hralign="center" o:hrstd="t" o:hr="t"/>
        </w:pict>
      </w:r>
    </w:p>
    <w:bookmarkEnd w:id="91"/>
    <w:bookmarkStart w:id="97" w:name="Xade1c4deea9fa2943ba7e5a87cfbe12eb6cca54"/>
    <w:p>
      <w:pPr>
        <w:pStyle w:val="Heading3"/>
      </w:pPr>
      <w:r>
        <w:t xml:space="preserve">3) DTC/ecommerce growth constraint: creative iteration speed as the bottleneck for mid-sized brands</w:t>
      </w:r>
    </w:p>
    <w:p>
      <w:pPr>
        <w:pStyle w:val="FirstParagraph"/>
      </w:pPr>
      <w:r>
        <w:t xml:space="preserve">A PM thread proposed that for mid-sized DTC/ecom brands (roughly 5–100 employees running paid ads seriously), the repeated failure loop is: ads work → performance drops → they need new creatives fast → production takes too long → CAC rises</w:t>
      </w:r>
      <w:r>
        <w:t xml:space="preserve"> </w:t>
      </w:r>
      <w:r>
        <w:rPr>
          <w:rStyle w:val="FootnoteReference"/>
        </w:rPr>
        <w:footnoteReference w:id="92"/>
      </w:r>
      <w:r>
        <w:t xml:space="preserve">. The claim is that the blocker is</w:t>
      </w:r>
      <w:r>
        <w:t xml:space="preserve"> </w:t>
      </w:r>
      <w:r>
        <w:rPr>
          <w:bCs/>
          <w:b/>
        </w:rPr>
        <w:t xml:space="preserve">creative iteration speed</w:t>
      </w:r>
      <w:r>
        <w:t xml:space="preserve">, not media buying</w:t>
      </w:r>
      <w:r>
        <w:t xml:space="preserve"> </w:t>
      </w:r>
      <w:r>
        <w:rPr>
          <w:rStyle w:val="FootnoteReference"/>
        </w:rPr>
        <w:footnoteReference w:id="94"/>
      </w:r>
      <w:r>
        <w:t xml:space="preserve">.</w:t>
      </w:r>
    </w:p>
    <w:p>
      <w:pPr>
        <w:pStyle w:val="BodyText"/>
      </w:pPr>
      <w:r>
        <w:t xml:space="preserve">A proposed solution direction: an AI-assisted workflow to generate and test more ad variations quickly, intended to remove the production bottleneck without replacing UGC creators</w:t>
      </w:r>
      <w:r>
        <w:t xml:space="preserve"> </w:t>
      </w:r>
      <w:r>
        <w:rPr>
          <w:rStyle w:val="FootnoteReference"/>
        </w:rPr>
        <w:footnoteReference w:id="95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If you’re building for growth teams, validate whether</w:t>
      </w:r>
      <w:r>
        <w:t xml:space="preserve"> </w:t>
      </w:r>
      <w:r>
        <w:t xml:space="preserve">“</w:t>
      </w:r>
      <w:r>
        <w:t xml:space="preserve">creative production throughput</w:t>
      </w:r>
      <w:r>
        <w:t xml:space="preserve">”</w:t>
      </w:r>
      <w:r>
        <w:t xml:space="preserve"> </w:t>
      </w:r>
      <w:r>
        <w:t xml:space="preserve">is the true constraint—and where in the workflow time is lost—before committing to automation</w:t>
      </w:r>
      <w:r>
        <w:t xml:space="preserve"> </w:t>
      </w:r>
      <w:r>
        <w:rPr>
          <w:rStyle w:val="FootnoteReference"/>
        </w:rPr>
        <w:footnoteReference w:id="9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97"/>
    <w:bookmarkEnd w:id="98"/>
    <w:bookmarkStart w:id="111" w:name="career-corner"/>
    <w:p>
      <w:pPr>
        <w:pStyle w:val="Heading2"/>
      </w:pPr>
      <w:r>
        <w:t xml:space="preserve">Career Corner</w:t>
      </w:r>
    </w:p>
    <w:bookmarkStart w:id="110" w:name="X986735f6c87fbdda963e857449e33d5b4196029"/>
    <w:p>
      <w:pPr>
        <w:pStyle w:val="Heading3"/>
      </w:pPr>
      <w:r>
        <w:t xml:space="preserve">1) PM interviews are inconsistent—and increasingly subjective—so optimize for adaptability, not one</w:t>
      </w:r>
      <w:r>
        <w:t xml:space="preserve"> </w:t>
      </w:r>
      <w:r>
        <w:t xml:space="preserve">“</w:t>
      </w:r>
      <w:r>
        <w:t xml:space="preserve">correct</w:t>
      </w:r>
      <w:r>
        <w:t xml:space="preserve">”</w:t>
      </w:r>
      <w:r>
        <w:t xml:space="preserve"> </w:t>
      </w:r>
      <w:r>
        <w:t xml:space="preserve">framework</w:t>
      </w:r>
    </w:p>
    <w:p>
      <w:pPr>
        <w:pStyle w:val="FirstParagraph"/>
      </w:pPr>
      <w:r>
        <w:t xml:space="preserve">A thread from a laid-off PM with large enterprise experience (ML, robotics, IoT, wearables) described repeatedly reaching late-stage interviews (final rounds with a small set of candidates) but failing to convert, with a hypothesis that they lack</w:t>
      </w:r>
      <w:r>
        <w:t xml:space="preserve"> </w:t>
      </w:r>
      <w:r>
        <w:t xml:space="preserve">“</w:t>
      </w:r>
      <w:r>
        <w:t xml:space="preserve">product language</w:t>
      </w:r>
      <w:r>
        <w:t xml:space="preserve">”</w:t>
      </w:r>
      <w:r>
        <w:t xml:space="preserve"> </w:t>
      </w:r>
      <w:r>
        <w:t xml:space="preserve">and frameworks compared with SaaS-native environments</w:t>
      </w:r>
      <w:r>
        <w:t xml:space="preserve"> </w:t>
      </w:r>
      <w:r>
        <w:rPr>
          <w:rStyle w:val="FootnoteReference"/>
        </w:rPr>
        <w:footnoteReference w:id="99"/>
      </w:r>
      <w:r>
        <w:t xml:space="preserve">.</w:t>
      </w:r>
    </w:p>
    <w:p>
      <w:pPr>
        <w:pStyle w:val="BodyText"/>
      </w:pPr>
      <w:r>
        <w:t xml:space="preserve">Responses emphasized:</w:t>
      </w:r>
      <w:r>
        <w:t xml:space="preserve"> </w:t>
      </w:r>
      <w:r>
        <w:t xml:space="preserve">- Interviews are</w:t>
      </w:r>
      <w:r>
        <w:t xml:space="preserve"> </w:t>
      </w:r>
      <w:r>
        <w:t xml:space="preserve">“</w:t>
      </w:r>
      <w:r>
        <w:t xml:space="preserve">all over the place,</w:t>
      </w:r>
      <w:r>
        <w:t xml:space="preserve">”</w:t>
      </w:r>
      <w:r>
        <w:t xml:space="preserve"> </w:t>
      </w:r>
      <w:r>
        <w:t xml:space="preserve">with different companies focusing on different frameworks—and candidates often can’t know which until they’re in the loop</w:t>
      </w:r>
      <w:r>
        <w:t xml:space="preserve"> </w:t>
      </w:r>
      <w:r>
        <w:rPr>
          <w:rStyle w:val="FootnoteReference"/>
        </w:rPr>
        <w:footnoteReference w:id="101"/>
      </w:r>
      <w:r>
        <w:t xml:space="preserve">.</w:t>
      </w:r>
      <w:r>
        <w:t xml:space="preserve"> </w:t>
      </w:r>
      <w:r>
        <w:t xml:space="preserve">- Questions can be</w:t>
      </w:r>
      <w:r>
        <w:t xml:space="preserve"> </w:t>
      </w:r>
      <w:r>
        <w:t xml:space="preserve">“</w:t>
      </w:r>
      <w:r>
        <w:t xml:space="preserve">wishy washy,</w:t>
      </w:r>
      <w:r>
        <w:t xml:space="preserve">”</w:t>
      </w:r>
      <w:r>
        <w:t xml:space="preserve"> </w:t>
      </w:r>
      <w:r>
        <w:t xml:space="preserve">used to form opinions more than establish facts; one negative read among many interviewers can eliminate a candidate</w:t>
      </w:r>
      <w:r>
        <w:t xml:space="preserve"> </w:t>
      </w:r>
      <w:r>
        <w:rPr>
          <w:rStyle w:val="FootnoteReference"/>
        </w:rPr>
        <w:footnoteReference w:id="103"/>
      </w:r>
      <w:r>
        <w:t xml:space="preserve">.</w:t>
      </w:r>
      <w:r>
        <w:t xml:space="preserve"> </w:t>
      </w:r>
      <w:r>
        <w:t xml:space="preserve">- The market is highly competitive; improving interview skill can help, but it can still come down to employers selecting a</w:t>
      </w:r>
      <w:r>
        <w:t xml:space="preserve"> </w:t>
      </w:r>
      <w:r>
        <w:t xml:space="preserve">“</w:t>
      </w:r>
      <w:r>
        <w:t xml:space="preserve">perfect</w:t>
      </w:r>
      <w:r>
        <w:t xml:space="preserve">”</w:t>
      </w:r>
      <w:r>
        <w:t xml:space="preserve"> </w:t>
      </w:r>
      <w:r>
        <w:t xml:space="preserve">candidate late-stage</w:t>
      </w:r>
      <w:r>
        <w:t xml:space="preserve"> </w:t>
      </w:r>
      <w:r>
        <w:rPr>
          <w:rStyle w:val="FootnoteReference"/>
        </w:rPr>
        <w:footnoteReference w:id="105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Prepare multiple ways to explain the same project (problem framing, trade-offs, outcomes), so you can match the interviewer’s preferred lens without sounding forced</w:t>
      </w:r>
      <w:r>
        <w:t xml:space="preserve"> </w:t>
      </w:r>
      <w:r>
        <w:rPr>
          <w:rStyle w:val="FootnoteReference"/>
        </w:rPr>
        <w:footnoteReference w:id="107"/>
      </w:r>
      <w:r>
        <w:rPr>
          <w:rStyle w:val="FootnoteReference"/>
        </w:rPr>
        <w:footnoteReference w:id="108"/>
      </w:r>
      <w:r>
        <w:t xml:space="preserve">.</w:t>
      </w:r>
      <w:r>
        <w:t xml:space="preserve"> </w:t>
      </w:r>
      <w:r>
        <w:t xml:space="preserve">- Assume subjectivity: treat each interview as stakeholder management across multiple evaluators (since a single mismatch can end the process)</w:t>
      </w:r>
      <w:r>
        <w:t xml:space="preserve"> </w:t>
      </w:r>
      <w:r>
        <w:rPr>
          <w:rStyle w:val="FootnoteReference"/>
        </w:rPr>
        <w:footnoteReference w:id="109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10"/>
    <w:bookmarkEnd w:id="111"/>
    <w:bookmarkStart w:id="131" w:name="tools-resources"/>
    <w:p>
      <w:pPr>
        <w:pStyle w:val="Heading2"/>
      </w:pPr>
      <w:r>
        <w:t xml:space="preserve">Tools &amp; Resources</w:t>
      </w:r>
    </w:p>
    <w:bookmarkStart w:id="119" w:name="X823039ae361dc2cadf2af8b66f920e0cebff3f3"/>
    <w:p>
      <w:pPr>
        <w:pStyle w:val="Heading3"/>
      </w:pPr>
      <w:r>
        <w:t xml:space="preserve">1) Everyday AI tool usage patterns (PM workflow signal)</w:t>
      </w:r>
    </w:p>
    <w:p>
      <w:pPr>
        <w:pStyle w:val="FirstParagraph"/>
      </w:pPr>
      <w:r>
        <w:t xml:space="preserve">One PM described their current tool mix: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Loveable</w:t>
      </w:r>
      <w:r>
        <w:t xml:space="preserve"> </w:t>
      </w:r>
      <w:r>
        <w:t xml:space="preserve">for prototyping and communicating ideas</w:t>
      </w:r>
      <w:r>
        <w:t xml:space="preserve"> </w:t>
      </w:r>
      <w:r>
        <w:rPr>
          <w:rStyle w:val="FootnoteReference"/>
        </w:rPr>
        <w:footnoteReference w:id="112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ChatGPT</w:t>
      </w:r>
      <w:r>
        <w:t xml:space="preserve"> </w:t>
      </w:r>
      <w:r>
        <w:t xml:space="preserve">as a sounding board and for copy (with a note it</w:t>
      </w:r>
      <w:r>
        <w:t xml:space="preserve"> </w:t>
      </w:r>
      <w:r>
        <w:t xml:space="preserve">“</w:t>
      </w:r>
      <w:r>
        <w:t xml:space="preserve">feels like it’s going downhill</w:t>
      </w:r>
      <w:r>
        <w:t xml:space="preserve">”</w:t>
      </w:r>
      <w:r>
        <w:t xml:space="preserve"> </w:t>
      </w:r>
      <w:r>
        <w:t xml:space="preserve">and considering switching to Claude)</w:t>
      </w:r>
      <w:r>
        <w:t xml:space="preserve"> </w:t>
      </w:r>
      <w:r>
        <w:rPr>
          <w:rStyle w:val="FootnoteReference"/>
        </w:rPr>
        <w:footnoteReference w:id="114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Zoom AI companion</w:t>
      </w:r>
      <w:r>
        <w:t xml:space="preserve"> </w:t>
      </w:r>
      <w:r>
        <w:t xml:space="preserve">occasionally</w:t>
      </w:r>
      <w:r>
        <w:t xml:space="preserve"> </w:t>
      </w:r>
      <w:r>
        <w:rPr>
          <w:rStyle w:val="FootnoteReference"/>
        </w:rPr>
        <w:footnoteReference w:id="115"/>
      </w:r>
      <w:r>
        <w:t xml:space="preserve"> </w:t>
      </w:r>
      <w:r>
        <w:t xml:space="preserve">- Avoiding</w:t>
      </w:r>
      <w:r>
        <w:t xml:space="preserve"> </w:t>
      </w:r>
      <w:r>
        <w:rPr>
          <w:bCs/>
          <w:b/>
        </w:rPr>
        <w:t xml:space="preserve">Gemini</w:t>
      </w:r>
      <w:r>
        <w:t xml:space="preserve">, preferring manual work for accuracy/speed</w:t>
      </w:r>
      <w:r>
        <w:t xml:space="preserve"> </w:t>
      </w:r>
      <w:r>
        <w:rPr>
          <w:rStyle w:val="FootnoteReference"/>
        </w:rPr>
        <w:footnoteReference w:id="116"/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These choices reflect a practical split: tools for rapid expression/communication (prototype + copy) vs. skepticism where a tool doesn’t outperform manual work</w:t>
      </w:r>
      <w:r>
        <w:t xml:space="preserve"> </w:t>
      </w:r>
      <w:r>
        <w:rPr>
          <w:rStyle w:val="FootnoteReference"/>
        </w:rPr>
        <w:footnoteReference w:id="117"/>
      </w:r>
      <w:r>
        <w:rPr>
          <w:rStyle w:val="FootnoteReference"/>
        </w:rPr>
        <w:footnoteReference w:id="118"/>
      </w:r>
      <w:r>
        <w:t xml:space="preserve">.</w:t>
      </w:r>
    </w:p>
    <w:bookmarkEnd w:id="119"/>
    <w:bookmarkStart w:id="129" w:name="Xef679cceedab5f5a84985a9fb0b476af316ee91"/>
    <w:p>
      <w:pPr>
        <w:pStyle w:val="Heading3"/>
      </w:pPr>
      <w:r>
        <w:t xml:space="preserve">2) Early-stage tool strategy (and compliance timing)</w:t>
      </w:r>
    </w:p>
    <w:p>
      <w:pPr>
        <w:pStyle w:val="FirstParagraph"/>
      </w:pPr>
      <w:r>
        <w:t xml:space="preserve">Paul Graham’s advice for early-stage startups: don’t avoid a tool (example: Anthropic models) solely because you</w:t>
      </w:r>
      <w:r>
        <w:t xml:space="preserve"> </w:t>
      </w:r>
      <w:r>
        <w:rPr>
          <w:iCs/>
          <w:i/>
        </w:rPr>
        <w:t xml:space="preserve">might</w:t>
      </w:r>
      <w:r>
        <w:t xml:space="preserve"> </w:t>
      </w:r>
      <w:r>
        <w:t xml:space="preserve">want to sell to the DoD later; early focus should be making the product the best</w:t>
      </w:r>
      <w:r>
        <w:t xml:space="preserve"> </w:t>
      </w:r>
      <w:r>
        <w:rPr>
          <w:rStyle w:val="FootnoteReference"/>
        </w:rPr>
        <w:footnoteReference w:id="120"/>
      </w:r>
      <w:r>
        <w:t xml:space="preserve">. If later you pursue DoD and a ban still applies, he suggests making a separate compliant version—but only after you’ve built something strong enough to have a</w:t>
      </w:r>
      <w:r>
        <w:t xml:space="preserve"> </w:t>
      </w:r>
      <w:r>
        <w:t xml:space="preserve">“</w:t>
      </w:r>
      <w:r>
        <w:t xml:space="preserve">later on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22"/>
      </w:r>
      <w:r>
        <w:t xml:space="preserve">. He also argued the ban could be an advantage if competitors stop using the best-performing models out of fear</w:t>
      </w:r>
      <w:r>
        <w:t xml:space="preserve"> </w:t>
      </w:r>
      <w:r>
        <w:rPr>
          <w:rStyle w:val="FootnoteReference"/>
        </w:rPr>
        <w:footnoteReference w:id="124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For PMs, this frames a concrete sequencing principle: optimize for product quality early, and plan compliance variants as a later branch if needed</w:t>
      </w:r>
      <w:r>
        <w:t xml:space="preserve"> </w:t>
      </w:r>
      <w:r>
        <w:rPr>
          <w:rStyle w:val="FootnoteReference"/>
        </w:rPr>
        <w:footnoteReference w:id="126"/>
      </w:r>
      <w:r>
        <w:rPr>
          <w:rStyle w:val="FootnoteReference"/>
        </w:rPr>
        <w:footnoteReference w:id="127"/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 to watch:</w:t>
      </w:r>
      <w:r>
        <w:t xml:space="preserve"> </w:t>
      </w:r>
      <w:r>
        <w:rPr>
          <w:iCs/>
          <w:i/>
        </w:rPr>
        <w:t xml:space="preserve">Growth and Retention in an AI-first world — Aaron Cort, Brian Balfour, Bryce Hunt, and Gaurav Vohra</w:t>
      </w:r>
      <w:r>
        <w:t xml:space="preserve"> </w:t>
      </w:r>
      <w:r>
        <w:t xml:space="preserve">(YouTube) https://www.youtube.com/watch?v=-iXxoxc-o6o</w:t>
      </w:r>
      <w:r>
        <w:t xml:space="preserve"> </w:t>
      </w:r>
      <w:r>
        <w:rPr>
          <w:rStyle w:val="FootnoteReference"/>
        </w:rPr>
        <w:footnoteReference w:id="128"/>
      </w:r>
    </w:p>
    <w:p>
      <w:r>
        <w:pict>
          <v:rect style="width:0;height:1.5pt" o:hralign="center" o:hrstd="t" o:hr="t"/>
        </w:pict>
      </w:r>
    </w:p>
    <w:bookmarkEnd w:id="129"/>
    <w:bookmarkStart w:id="13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  <w:p>
      <w:pPr>
        <w:numPr>
          <w:ilvl w:val="0"/>
          <w:numId w:val="1001"/>
        </w:numPr>
        <w:pStyle w:val="Compact"/>
      </w:pPr>
      <w:hyperlink r:id="rId72">
        <w:r>
          <w:rPr>
            <w:rStyle w:val="Hyperlink"/>
          </w:rPr>
          <w:t xml:space="preserve">r/prodmgmt post by u/green-beaver-01</w:t>
        </w:r>
      </w:hyperlink>
    </w:p>
    <w:p>
      <w:pPr>
        <w:numPr>
          <w:ilvl w:val="0"/>
          <w:numId w:val="1001"/>
        </w:numPr>
        <w:pStyle w:val="Compact"/>
      </w:pPr>
      <w:hyperlink r:id="rId93">
        <w:r>
          <w:rPr>
            <w:rStyle w:val="Hyperlink"/>
          </w:rPr>
          <w:t xml:space="preserve">r/ProductManagement post by u/No_Twist6469</w:t>
        </w:r>
      </w:hyperlink>
    </w:p>
    <w:p>
      <w:pPr>
        <w:numPr>
          <w:ilvl w:val="0"/>
          <w:numId w:val="1001"/>
        </w:numPr>
        <w:pStyle w:val="Compact"/>
      </w:pPr>
      <w:hyperlink r:id="rId100">
        <w:r>
          <w:rPr>
            <w:rStyle w:val="Hyperlink"/>
          </w:rPr>
          <w:t xml:space="preserve">r/ProductManagement post by u/justanothermedia</w:t>
        </w:r>
      </w:hyperlink>
    </w:p>
    <w:p>
      <w:pPr>
        <w:numPr>
          <w:ilvl w:val="0"/>
          <w:numId w:val="1001"/>
        </w:numPr>
        <w:pStyle w:val="Compact"/>
      </w:pPr>
      <w:hyperlink r:id="rId102">
        <w:r>
          <w:rPr>
            <w:rStyle w:val="Hyperlink"/>
          </w:rPr>
          <w:t xml:space="preserve">r/ProductManagement comment by u/DCsynchronicity</w:t>
        </w:r>
      </w:hyperlink>
    </w:p>
    <w:p>
      <w:pPr>
        <w:numPr>
          <w:ilvl w:val="0"/>
          <w:numId w:val="1001"/>
        </w:numPr>
        <w:pStyle w:val="Compact"/>
      </w:pPr>
      <w:hyperlink r:id="rId104">
        <w:r>
          <w:rPr>
            <w:rStyle w:val="Hyperlink"/>
          </w:rPr>
          <w:t xml:space="preserve">r/ProductManagement comment by u/Habitualcaveman</w:t>
        </w:r>
      </w:hyperlink>
    </w:p>
    <w:p>
      <w:pPr>
        <w:numPr>
          <w:ilvl w:val="0"/>
          <w:numId w:val="1001"/>
        </w:numPr>
        <w:pStyle w:val="Compact"/>
      </w:pPr>
      <w:hyperlink r:id="rId106">
        <w:r>
          <w:rPr>
            <w:rStyle w:val="Hyperlink"/>
          </w:rPr>
          <w:t xml:space="preserve">r/ProductManagement comment by u/FinishMysterious4083</w:t>
        </w:r>
      </w:hyperlink>
    </w:p>
    <w:p>
      <w:pPr>
        <w:numPr>
          <w:ilvl w:val="0"/>
          <w:numId w:val="1001"/>
        </w:numPr>
        <w:pStyle w:val="Compact"/>
      </w:pPr>
      <w:hyperlink r:id="rId113">
        <w:r>
          <w:rPr>
            <w:rStyle w:val="Hyperlink"/>
          </w:rPr>
          <w:t xml:space="preserve">r/ProductManagement post by u/cara184</w:t>
        </w:r>
      </w:hyperlink>
    </w:p>
    <w:p>
      <w:pPr>
        <w:numPr>
          <w:ilvl w:val="0"/>
          <w:numId w:val="1001"/>
        </w:numPr>
        <w:pStyle w:val="Compact"/>
      </w:pPr>
      <w:hyperlink r:id="rId1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p>
      <w:pPr>
        <w:numPr>
          <w:ilvl w:val="0"/>
          <w:numId w:val="1001"/>
        </w:numPr>
        <w:pStyle w:val="Compact"/>
      </w:pPr>
      <w:hyperlink r:id="rId1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p>
      <w:pPr>
        <w:numPr>
          <w:ilvl w:val="0"/>
          <w:numId w:val="1001"/>
        </w:numPr>
        <w:pStyle w:val="Compact"/>
      </w:pP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bookmarkEnd w:id="130"/>
    <w:bookmarkEnd w:id="131"/>
    <w:bookmarkEnd w:id="1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r/prodmgmt post by u/green-beaver-01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r/prodmgmt post by u/green-beaver-01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r/prodmgmt post by u/green-beaver-01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r/prodmgmt post by u/green-beaver-01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r/prodmgmt post by u/green-beaver-01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r/prodmgmt post by u/green-beaver-01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r/prodmgmt post by u/green-beaver-01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r/prodmgmt post by u/green-beaver-01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r/prodmgmt post by u/green-beaver-01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r/prodmgmt post by u/green-beaver-01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3">
        <w:r>
          <w:rPr>
            <w:rStyle w:val="Hyperlink"/>
          </w:rPr>
          <w:t xml:space="preserve">r/ProductManagement post by u/No_Twist6469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3">
        <w:r>
          <w:rPr>
            <w:rStyle w:val="Hyperlink"/>
          </w:rPr>
          <w:t xml:space="preserve">r/ProductManagement post by u/No_Twist6469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3">
        <w:r>
          <w:rPr>
            <w:rStyle w:val="Hyperlink"/>
          </w:rPr>
          <w:t xml:space="preserve">r/ProductManagement post by u/No_Twist6469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3">
        <w:r>
          <w:rPr>
            <w:rStyle w:val="Hyperlink"/>
          </w:rPr>
          <w:t xml:space="preserve">r/ProductManagement post by u/No_Twist6469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0">
        <w:r>
          <w:rPr>
            <w:rStyle w:val="Hyperlink"/>
          </w:rPr>
          <w:t xml:space="preserve">r/ProductManagement post by u/justanothermedia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r/ProductManagement comment by u/DCsynchronicity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r/ProductManagement comment by u/Habitualcaveman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r/ProductManagement comment by u/FinishMysterious4083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0">
        <w:r>
          <w:rPr>
            <w:rStyle w:val="Hyperlink"/>
          </w:rPr>
          <w:t xml:space="preserve">r/ProductManagement post by u/justanothermedia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r/ProductManagement comment by u/DCsynchronicity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r/ProductManagement comment by u/Habitualcaveman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r/ProductManagement post by u/cara184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r/ProductManagement post by u/cara184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r/ProductManagement post by u/cara184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r/ProductManagement post by u/cara184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r/ProductManagement post by u/cara184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r/ProductManagement post by u/cara184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Growth and Retention in an AI-first world — Aaron Cort, Brian Balfour, Bryce Hunt, and Gaurav Vohra.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hyperlink" Id="rId100" Target="https://www.reddit.com/r/ProductManagement/comments/1rhahj7/" TargetMode="External" /><Relationship Type="http://schemas.openxmlformats.org/officeDocument/2006/relationships/hyperlink" Id="rId102" Target="https://www.reddit.com/r/ProductManagement/comments/1rhahj7/comment/o7xbxgc/" TargetMode="External" /><Relationship Type="http://schemas.openxmlformats.org/officeDocument/2006/relationships/hyperlink" Id="rId104" Target="https://www.reddit.com/r/ProductManagement/comments/1rhahj7/comment/o7xh0qs/" TargetMode="External" /><Relationship Type="http://schemas.openxmlformats.org/officeDocument/2006/relationships/hyperlink" Id="rId106" Target="https://www.reddit.com/r/ProductManagement/comments/1rhahj7/comment/o7xw817/" TargetMode="External" /><Relationship Type="http://schemas.openxmlformats.org/officeDocument/2006/relationships/hyperlink" Id="rId93" Target="https://www.reddit.com/r/ProductManagement/comments/1rhbtxj/" TargetMode="External" /><Relationship Type="http://schemas.openxmlformats.org/officeDocument/2006/relationships/hyperlink" Id="rId113" Target="https://www.reddit.com/r/ProductManagement/comments/1rhmm9f/" TargetMode="External" /><Relationship Type="http://schemas.openxmlformats.org/officeDocument/2006/relationships/hyperlink" Id="rId72" Target="https://www.reddit.com/r/prodmgmt/comments/1rhcyyq/" TargetMode="External" /><Relationship Type="http://schemas.openxmlformats.org/officeDocument/2006/relationships/hyperlink" Id="rId21" Target="https://www.youtube.com/watch?v=-iXxoxc-o6o" TargetMode="External" /><Relationship Type="http://schemas.openxmlformats.org/officeDocument/2006/relationships/hyperlink" Id="rId121" Target="https://x.com/paulg/status/2027764682812178868" TargetMode="External" /><Relationship Type="http://schemas.openxmlformats.org/officeDocument/2006/relationships/hyperlink" Id="rId123" Target="https://x.com/paulg/status/2027765532708225480" TargetMode="External" /><Relationship Type="http://schemas.openxmlformats.org/officeDocument/2006/relationships/hyperlink" Id="rId125" Target="https://x.com/paulg/status/2027766792517722588" TargetMode="External" /><Relationship Type="http://schemas.openxmlformats.org/officeDocument/2006/relationships/hyperlink" Id="rId38" Target="https://youtube.com/watch?v=-iXxoxc-o6o&amp;t=1378" TargetMode="External" /><Relationship Type="http://schemas.openxmlformats.org/officeDocument/2006/relationships/hyperlink" Id="rId26" Target="https://youtube.com/watch?v=-iXxoxc-o6o&amp;t=18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0" Target="https://www.reddit.com/r/ProductManagement/comments/1rhahj7/" TargetMode="External" /><Relationship Type="http://schemas.openxmlformats.org/officeDocument/2006/relationships/hyperlink" Id="rId102" Target="https://www.reddit.com/r/ProductManagement/comments/1rhahj7/comment/o7xbxgc/" TargetMode="External" /><Relationship Type="http://schemas.openxmlformats.org/officeDocument/2006/relationships/hyperlink" Id="rId104" Target="https://www.reddit.com/r/ProductManagement/comments/1rhahj7/comment/o7xh0qs/" TargetMode="External" /><Relationship Type="http://schemas.openxmlformats.org/officeDocument/2006/relationships/hyperlink" Id="rId106" Target="https://www.reddit.com/r/ProductManagement/comments/1rhahj7/comment/o7xw817/" TargetMode="External" /><Relationship Type="http://schemas.openxmlformats.org/officeDocument/2006/relationships/hyperlink" Id="rId93" Target="https://www.reddit.com/r/ProductManagement/comments/1rhbtxj/" TargetMode="External" /><Relationship Type="http://schemas.openxmlformats.org/officeDocument/2006/relationships/hyperlink" Id="rId113" Target="https://www.reddit.com/r/ProductManagement/comments/1rhmm9f/" TargetMode="External" /><Relationship Type="http://schemas.openxmlformats.org/officeDocument/2006/relationships/hyperlink" Id="rId72" Target="https://www.reddit.com/r/prodmgmt/comments/1rhcyyq/" TargetMode="External" /><Relationship Type="http://schemas.openxmlformats.org/officeDocument/2006/relationships/hyperlink" Id="rId21" Target="https://www.youtube.com/watch?v=-iXxoxc-o6o" TargetMode="External" /><Relationship Type="http://schemas.openxmlformats.org/officeDocument/2006/relationships/hyperlink" Id="rId121" Target="https://x.com/paulg/status/2027764682812178868" TargetMode="External" /><Relationship Type="http://schemas.openxmlformats.org/officeDocument/2006/relationships/hyperlink" Id="rId123" Target="https://x.com/paulg/status/2027765532708225480" TargetMode="External" /><Relationship Type="http://schemas.openxmlformats.org/officeDocument/2006/relationships/hyperlink" Id="rId125" Target="https://x.com/paulg/status/2027766792517722588" TargetMode="External" /><Relationship Type="http://schemas.openxmlformats.org/officeDocument/2006/relationships/hyperlink" Id="rId38" Target="https://youtube.com/watch?v=-iXxoxc-o6o&amp;t=1378" TargetMode="External" /><Relationship Type="http://schemas.openxmlformats.org/officeDocument/2006/relationships/hyperlink" Id="rId26" Target="https://youtube.com/watch?v=-iXxoxc-o6o&amp;t=18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Retention “natural frequency,” AI moat shifts, and onboarding/GTM choices for AI products</dc:title>
  <dc:creator>PM Daily Digest</dc:creator>
  <cp:keywords/>
  <dcterms:created xsi:type="dcterms:W3CDTF">2026-03-01T22:56:48Z</dcterms:created>
  <dcterms:modified xsi:type="dcterms:W3CDTF">2026-03-01T22:56:48Z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2026-03-01</vt:lpwstr>
  </property>
</Properties>
</file>