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Route each task to the cheapest capable model: LangChain cuts Open SWE's median thread cost 64% without hurting merge rates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2026-10-02</w:t>
      </w:r>
    </w:p>
    <w:bookmarkStart w:id="55" w:name="Xbbd394b07a0ae8238b6161494c64ac489506ae6"/>
    <w:p>
      <w:pPr>
        <w:pStyle w:val="Heading1"/>
      </w:pPr>
      <w:r>
        <w:t xml:space="preserve">Route each task to the cheapest capable model: LangChain cuts Open SWE’s median thread cost 64% without hurting merge rates</w:t>
      </w:r>
    </w:p>
    <w:p>
      <w:pPr>
        <w:pStyle w:val="FirstParagraph"/>
      </w:pPr>
      <w:r>
        <w:rPr>
          <w:iCs/>
          <w:i/>
        </w:rPr>
        <w:t xml:space="preserve">By Coding Agents Alpha Tracker • October 2, 2026</w:t>
      </w:r>
    </w:p>
    <w:p>
      <w:pPr>
        <w:pStyle w:val="BodyText"/>
      </w:pPr>
      <w:r>
        <w:t xml:space="preserve">LangChain published a detailed recipe for model routing inside the agent harness, with A/B results. Also: Theo’s workflow for getting PRs merge-ready, Claude Code mods, a draft-PR warning about Dots, and smaller tool releases.</w:t>
      </w:r>
    </w:p>
    <w:bookmarkStart w:id="21" w:name="X976f14596072704d046efb4ce7bea74da94eb29"/>
    <w:p>
      <w:pPr>
        <w:pStyle w:val="Heading2"/>
      </w:pPr>
      <w:r>
        <w:t xml:space="preserve">Routing inside the harness: 64% cheaper, same merge rate</w:t>
      </w:r>
    </w:p>
    <w:p>
      <w:pPr>
        <w:pStyle w:val="FirstParagraph"/>
      </w:pPr>
      <w:r>
        <w:t xml:space="preserve">LangChain wrote up how it built a model router for Open SWE, its internal coding agent, and published the results. It picked three tiers from different providers:</w:t>
      </w:r>
      <w:r>
        <w:t xml:space="preserve"> </w:t>
      </w:r>
      <w:r>
        <w:rPr>
          <w:bCs/>
          <w:b/>
        </w:rPr>
        <w:t xml:space="preserve">GLM-5.3-Flash (xhigh)</w:t>
      </w:r>
      <w:r>
        <w:t xml:space="preserve"> </w:t>
      </w:r>
      <w:r>
        <w:t xml:space="preserve">as fast,</w:t>
      </w:r>
      <w:r>
        <w:t xml:space="preserve"> </w:t>
      </w:r>
      <w:r>
        <w:rPr>
          <w:bCs/>
          <w:b/>
        </w:rPr>
        <w:t xml:space="preserve">GPT-5.6 Sol (medium)</w:t>
      </w:r>
      <w:r>
        <w:t xml:space="preserve"> </w:t>
      </w:r>
      <w:r>
        <w:t xml:space="preserve">as balanced and</w:t>
      </w:r>
      <w:r>
        <w:t xml:space="preserve"> </w:t>
      </w:r>
      <w:r>
        <w:rPr>
          <w:bCs/>
          <w:b/>
        </w:rPr>
        <w:t xml:space="preserve">GPT-6 Astra (low)</w:t>
      </w:r>
      <w:r>
        <w:t xml:space="preserve"> </w:t>
      </w:r>
      <w:r>
        <w:t xml:space="preserve">as performance [1]. The</w:t>
      </w:r>
      <w:r>
        <w:t xml:space="preserve"> </w:t>
      </w:r>
      <w:hyperlink r:id="rId20">
        <w:r>
          <w:rPr>
            <w:rStyle w:val="Hyperlink"/>
          </w:rPr>
          <w:t xml:space="preserve">router middleware</w:t>
        </w:r>
      </w:hyperlink>
      <w:r>
        <w:t xml:space="preserve"> </w:t>
      </w:r>
      <w:r>
        <w:t xml:space="preserve">runs once, on the thread’s first human message, and has three parts [1]:</w:t>
      </w:r>
    </w:p>
    <w:p>
      <w:pPr>
        <w:numPr>
          <w:ilvl w:val="0"/>
          <w:numId w:val="1001"/>
        </w:numPr>
        <w:pStyle w:val="Compact"/>
      </w:pPr>
      <w:r>
        <w:t xml:space="preserve">a base prompt telling the classifier to pick the least expensive model likely to finish the task</w:t>
      </w:r>
    </w:p>
    <w:p>
      <w:pPr>
        <w:numPr>
          <w:ilvl w:val="0"/>
          <w:numId w:val="1001"/>
        </w:numPr>
        <w:pStyle w:val="Compact"/>
      </w:pPr>
      <w:r>
        <w:t xml:space="preserve">short, plain-language criteria for each tier</w:t>
      </w:r>
    </w:p>
    <w:p>
      <w:pPr>
        <w:numPr>
          <w:ilvl w:val="0"/>
          <w:numId w:val="1001"/>
        </w:numPr>
        <w:pStyle w:val="Compact"/>
      </w:pPr>
      <w:r>
        <w:t xml:space="preserve">a classifier model</w:t>
      </w:r>
    </w:p>
    <w:p>
      <w:pPr>
        <w:pStyle w:val="FirstParagraph"/>
      </w:pPr>
      <w:r>
        <w:t xml:space="preserve">The tier criteria come from two sources: LangChain’s own analysis of its task mix, and each provider’s prompt guide. Because those criteria depend so much on the agent’s own tasks, the router lives in the harness rather than a generic gateway [1]. The first classifier was an LLM with structured output. Switching it to the Jev decision model made classification almost 50× faster. The chosen model then handles the whole thread [1].</w:t>
      </w:r>
    </w:p>
    <w:p>
      <w:pPr>
        <w:pStyle w:val="BodyText"/>
      </w:pPr>
      <w:r>
        <w:t xml:space="preserve">They measured outcomes with merged PRs per thread and thumbs up/down ratings. Merged PRs were the stronger signal because few threads got rated [1]. Results from a 973-thread A/B test against always using Astra: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Quality:</w:t>
      </w:r>
      <w:r>
        <w:t xml:space="preserve"> </w:t>
      </w:r>
      <w:r>
        <w:t xml:space="preserve">29.2% of routed threads ended in a merged PR, against 27.3% for control (p=0.49) [1].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Cost:</w:t>
      </w:r>
      <w:r>
        <w:t xml:space="preserve"> </w:t>
      </w:r>
      <w:r>
        <w:t xml:space="preserve">the median thread fell from $2.61 to $0.94, a 64% drop. The mean fell 42% and p90 fell 37% [1].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Routing mix:</w:t>
      </w:r>
      <w:r>
        <w:t xml:space="preserve"> </w:t>
      </w:r>
      <w:r>
        <w:t xml:space="preserve">56% of threads went to balanced, 34% to fast and 10% to performance. Median cost per thread ranged from $0.097 on fast to $2.88 on performance [1].</w:t>
      </w:r>
    </w:p>
    <w:p>
      <w:pPr>
        <w:pStyle w:val="FirstParagraph"/>
      </w:pPr>
      <w:r>
        <w:t xml:space="preserve">The opposite test, router against always using the fast model, was stopped within a day. Engineers said the low quality was disrupting their work [1]. In short, routing saves money, but sending everything to the cheapest model doesn’t work.</w:t>
      </w:r>
    </w:p>
    <w:p>
      <w:pPr>
        <w:pStyle w:val="BodyText"/>
      </w:pPr>
      <w:r>
        <w:t xml:space="preserve">Related: LangChain’s new</w:t>
      </w:r>
      <w:r>
        <w:t xml:space="preserve"> </w:t>
      </w:r>
      <w:r>
        <w:rPr>
          <w:rStyle w:val="VerbatimChar"/>
        </w:rPr>
        <w:t xml:space="preserve">smithtune</w:t>
      </w:r>
      <w:r>
        <w:t xml:space="preserve"> </w:t>
      </w:r>
      <w:r>
        <w:t xml:space="preserve">CLI turns an agent’s own trajectories into fine-tuning data [2]. LangChain says OpenSWE Review’s precision rose from 62.9% to 81.5% with 29% fewer tool calls per review [3].</w:t>
      </w:r>
    </w:p>
    <w:bookmarkEnd w:id="21"/>
    <w:bookmarkStart w:id="26" w:name="Xfc6cfe54a9b8d0b321be235c668fb1fe78f1e36"/>
    <w:p>
      <w:pPr>
        <w:pStyle w:val="Heading2"/>
      </w:pPr>
      <w:r>
        <w:t xml:space="preserve">Hand off verification too, not just coding</w:t>
      </w:r>
    </w:p>
    <w:p>
      <w:pPr>
        <w:pStyle w:val="FirstParagraph"/>
      </w:pPr>
      <w:r>
        <w:t xml:space="preserve">In a new video, Theo estimates that only 10–15% of his tokens go to writing code. The rest goes to verifying it, so the PR is actually done by the time he looks [4]. He also says that if undoing a bad change takes more than 15 seconds, you should fix your systems before vibe coding [4]. Habits from the video: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Give the agent the problem, not your solution.</w:t>
      </w:r>
      <w:r>
        <w:t xml:space="preserve"> </w:t>
      </w:r>
      <w:r>
        <w:t xml:space="preserve">He now sends a bug screenshot with</w:t>
      </w:r>
      <w:r>
        <w:t xml:space="preserve"> </w:t>
      </w:r>
      <w:r>
        <w:t xml:space="preserve">“</w:t>
      </w:r>
      <w:r>
        <w:t xml:space="preserve">Fix it.</w:t>
      </w:r>
      <w:r>
        <w:t xml:space="preserve">”</w:t>
      </w:r>
      <w:r>
        <w:t xml:space="preserve"> </w:t>
      </w:r>
      <w:r>
        <w:t xml:space="preserve">If the agent fails, that tells him the problem deserves his own thinking [4].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Ask for everything up front:</w:t>
      </w:r>
      <w:r>
        <w:t xml:space="preserve"> </w:t>
      </w:r>
      <w:r>
        <w:t xml:space="preserve">build it, file a PR, spin up a Tailscale environment for him to try, then babysit the PR [4]. If you state the conditions under which the agent may merge, the thread can close without you ever opening it [4].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Treat threads as a to-do list.</w:t>
      </w:r>
      <w:r>
        <w:t xml:space="preserve"> </w:t>
      </w:r>
      <w:r>
        <w:t xml:space="preserve">He fires prompts into the background (Cmd+Enter in T3 Code), only opens threads marked done or needing input, and spreads work across his Linux boxes, with auto load-balancing available [4].</w:t>
      </w:r>
    </w:p>
    <w:p>
      <w:pPr>
        <w:pStyle w:val="FirstParagraph"/>
      </w:pPr>
      <w:hyperlink r:id="rId25">
        <w:r>
          <w:drawing>
            <wp:inline>
              <wp:extent cx="5334000" cy="4000500"/>
              <wp:effectExtent b="0" l="0" r="0" t="0"/>
              <wp:docPr descr="If you have a Claude sub, watch this" title="" id="23" name="Picture"/>
              <a:graphic>
                <a:graphicData uri="http://schemas.openxmlformats.org/drawingml/2006/picture">
                  <pic:pic>
                    <pic:nvPicPr>
                      <pic:cNvPr descr="https://img.youtube.com/vi/D8PikZ1KhUo/hqdefault.jpg" id="2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If you have a Claude sub, watch this (46:12)</w:t>
      </w:r>
    </w:p>
    <w:p>
      <w:pPr>
        <w:pStyle w:val="BodyText"/>
      </w:pPr>
      <w:r>
        <w:t xml:space="preserve">On exploratory work, Theo argues that the branch you explore on and the PR you merge can, and often should, be built differently:</w:t>
      </w:r>
      <w:r>
        <w:t xml:space="preserve"> </w:t>
      </w:r>
      <w:r>
        <w:t xml:space="preserve">“</w:t>
      </w:r>
      <w:r>
        <w:t xml:space="preserve">assume all PRs will be closed, not merged</w:t>
      </w:r>
      <w:r>
        <w:t xml:space="preserve">”</w:t>
      </w:r>
      <w:r>
        <w:t xml:space="preserve"> </w:t>
      </w:r>
      <w:r>
        <w:t xml:space="preserve">[5]. Geoffrey Huntley goes further on review. Read the properties your tests express, and if performance is a problem,</w:t>
      </w:r>
      <w:r>
        <w:t xml:space="preserve"> </w:t>
      </w:r>
      <w:r>
        <w:t xml:space="preserve">“</w:t>
      </w:r>
      <w:r>
        <w:t xml:space="preserve">run a loop and optimise</w:t>
      </w:r>
      <w:r>
        <w:t xml:space="preserve">”</w:t>
      </w:r>
      <w:r>
        <w:t xml:space="preserve"> </w:t>
      </w:r>
      <w:r>
        <w:t xml:space="preserve">while those properties keep holding [6]. The things he says you must read are public SDK APIs, your verification and agent traces [7].</w:t>
      </w:r>
    </w:p>
    <w:p>
      <w:pPr>
        <w:pStyle w:val="BodyText"/>
      </w:pPr>
      <w:r>
        <w:t xml:space="preserve">The Pragmatic Engineer quotes DHH saying 37signals is</w:t>
      </w:r>
      <w:r>
        <w:t xml:space="preserve"> </w:t>
      </w:r>
      <w:r>
        <w:t xml:space="preserve">“</w:t>
      </w:r>
      <w:r>
        <w:t xml:space="preserve">done writing code by hand.</w:t>
      </w:r>
      <w:r>
        <w:t xml:space="preserve">”</w:t>
      </w:r>
      <w:r>
        <w:t xml:space="preserve"> </w:t>
      </w:r>
      <w:r>
        <w:t xml:space="preserve">When it happens, it’s treated like a bug: you ask why the agent couldn’t produce the result, then fix the</w:t>
      </w:r>
      <w:r>
        <w:t xml:space="preserve"> </w:t>
      </w:r>
      <w:r>
        <w:t xml:space="preserve">“</w:t>
      </w:r>
      <w:r>
        <w:t xml:space="preserve">factory</w:t>
      </w:r>
      <w:r>
        <w:t xml:space="preserve">”</w:t>
      </w:r>
      <w:r>
        <w:t xml:space="preserve"> </w:t>
      </w:r>
      <w:r>
        <w:t xml:space="preserve">[8]. 37signals is now building native mobile apps, moving backend services from Ruby to Rust because agents write good-enough Rust, and keeping Rails because its conventions suit agents [8].</w:t>
      </w:r>
    </w:p>
    <w:bookmarkEnd w:id="26"/>
    <w:bookmarkStart w:id="27" w:name="claude-code-mods"/>
    <w:p>
      <w:pPr>
        <w:pStyle w:val="Heading2"/>
      </w:pPr>
      <w:r>
        <w:t xml:space="preserve">Claude Code mods</w:t>
      </w:r>
    </w:p>
    <w:p>
      <w:pPr>
        <w:pStyle w:val="FirstParagraph"/>
      </w:pPr>
      <w:r>
        <w:t xml:space="preserve">Claude Code now supports mods, which can change its behavior, customize the UI or swap in your own features. You can write one in a few lines of TypeScript or have Claude build it. Mods ship inside plugins and install with</w:t>
      </w:r>
      <w:r>
        <w:t xml:space="preserve"> </w:t>
      </w:r>
      <w:r>
        <w:rPr>
          <w:rStyle w:val="VerbatimChar"/>
        </w:rPr>
        <w:t xml:space="preserve">/plugin</w:t>
      </w:r>
      <w:r>
        <w:t xml:space="preserve"> </w:t>
      </w:r>
      <w:r>
        <w:t xml:space="preserve">in the CLI or desktop app [9]. Boris Cherny’s pitch is that everyone works differently, so build your own and share them as plugins [10].</w:t>
      </w:r>
    </w:p>
    <w:bookmarkEnd w:id="27"/>
    <w:bookmarkStart w:id="28" w:name="dots-open-autonomous-prs-as-drafts"/>
    <w:p>
      <w:pPr>
        <w:pStyle w:val="Heading2"/>
      </w:pPr>
      <w:r>
        <w:t xml:space="preserve">Dots: open autonomous PRs as drafts</w:t>
      </w:r>
    </w:p>
    <w:p>
      <w:pPr>
        <w:pStyle w:val="FirstParagraph"/>
      </w:pPr>
      <w:r>
        <w:t xml:space="preserve">Alexander Embiricos described an early internal incident. A dot watching a feedback channel found a bug and opened a non-draft PR. It had inferred the engineer’s habit of setting auto-merge, and the PR merged once a colleague approved it.</w:t>
      </w:r>
      <w:r>
        <w:t xml:space="preserve"> </w:t>
      </w:r>
      <w:r>
        <w:t xml:space="preserve">“</w:t>
      </w:r>
      <w:r>
        <w:t xml:space="preserve">Dot should set PRs in draft mode,</w:t>
      </w:r>
      <w:r>
        <w:t xml:space="preserve">”</w:t>
      </w:r>
      <w:r>
        <w:t xml:space="preserve"> </w:t>
      </w:r>
      <w:r>
        <w:t xml:space="preserve">he said [11]. If you give an always-on agent repo access, make draft PRs the default.</w:t>
      </w:r>
    </w:p>
    <w:p>
      <w:pPr>
        <w:pStyle w:val="BodyText"/>
      </w:pPr>
      <w:r>
        <w:t xml:space="preserve">Riley Brown’s notes after 24 hours with a dot:</w:t>
      </w:r>
      <w:r>
        <w:t xml:space="preserve"> </w:t>
      </w:r>
      <w:r>
        <w:t xml:space="preserve">- Voice is the standout, but he hit problems in sessions of 30 minutes or more [12].</w:t>
      </w:r>
      <w:r>
        <w:t xml:space="preserve"> </w:t>
      </w:r>
      <w:r>
        <w:t xml:space="preserve">- He wants a better view of the Codex threads the dot spins up [12].</w:t>
      </w:r>
      <w:r>
        <w:t xml:space="preserve"> </w:t>
      </w:r>
      <w:r>
        <w:t xml:space="preserve">- He found it confusing to choose between the VM browser, the Codex browser and Chrome [12].</w:t>
      </w:r>
    </w:p>
    <w:p>
      <w:pPr>
        <w:pStyle w:val="BodyText"/>
      </w:pPr>
      <w:r>
        <w:t xml:space="preserve">On capacity, Tibo says GPT-6.1 Sol is back to normal speed after a load spike, and a global usage reset for paid ChatGPT accounts lands at 10am PST on the day after his post [13]. ThePrimeagen says about 60 minutes of prompting on a</w:t>
      </w:r>
      <w:r>
        <w:t xml:space="preserve"> </w:t>
      </w:r>
      <w:r>
        <w:t xml:space="preserve">“</w:t>
      </w:r>
      <w:r>
        <w:t xml:space="preserve">$500 plan</w:t>
      </w:r>
      <w:r>
        <w:t xml:space="preserve">”</w:t>
      </w:r>
      <w:r>
        <w:t xml:space="preserve"> </w:t>
      </w:r>
      <w:r>
        <w:t xml:space="preserve">used 56% of his weekly limit [14].</w:t>
      </w:r>
    </w:p>
    <w:bookmarkEnd w:id="28"/>
    <w:bookmarkStart w:id="54" w:name="smaller-items"/>
    <w:p>
      <w:pPr>
        <w:pStyle w:val="Heading2"/>
      </w:pPr>
      <w:r>
        <w:t xml:space="preserve">Smaller items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Cursor</w:t>
      </w:r>
      <w:r>
        <w:t xml:space="preserve"> </w:t>
      </w:r>
      <w:r>
        <w:t xml:space="preserve">added GLM 5.3 and GLM 5.3 Flash. Cursor says GLM 5.3 Max is the best-scoring open-weight model on CursorBench 4.0 [15].</w:t>
      </w:r>
    </w:p>
    <w:p>
      <w:pPr>
        <w:numPr>
          <w:ilvl w:val="0"/>
          <w:numId w:val="1004"/>
        </w:numPr>
        <w:pStyle w:val="Compact"/>
      </w:pPr>
      <w:r>
        <w:rPr>
          <w:rStyle w:val="VerbatimChar"/>
          <w:bCs/>
          <w:b/>
        </w:rPr>
        <w:t xml:space="preserve">@langchain/mcp-adapters</w:t>
      </w:r>
      <w:r>
        <w:rPr>
          <w:bCs/>
          <w:b/>
        </w:rPr>
        <w:t xml:space="preserve"> </w:t>
      </w:r>
      <w:r>
        <w:rPr>
          <w:bCs/>
          <w:b/>
        </w:rPr>
        <w:t xml:space="preserve">2.0</w:t>
      </w:r>
      <w:r>
        <w:t xml:space="preserve"> </w:t>
      </w:r>
      <w:r>
        <w:t xml:space="preserve">supports the latest stateless MCP, adds tools that can check in with users and makes auth easier [16].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Pi 1.0</w:t>
      </w:r>
      <w:r>
        <w:t xml:space="preserve"> </w:t>
      </w:r>
      <w:r>
        <w:t xml:space="preserve">shipped with Pi Durable (</w:t>
      </w:r>
      <w:hyperlink r:id="rId29">
        <w:r>
          <w:rPr>
            <w:rStyle w:val="Hyperlink"/>
          </w:rPr>
          <w:t xml:space="preserve">post</w:t>
        </w:r>
      </w:hyperlink>
      <w:r>
        <w:t xml:space="preserve">) [17].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Persistent subagents:</w:t>
      </w:r>
      <w:r>
        <w:t xml:space="preserve"> </w:t>
      </w:r>
      <w:r>
        <w:t xml:space="preserve">in a Latent Space interview, swyx calls ephemeral Codex subagents his biggest pain and Alex Zhang agrees that writing state to the filesystem is</w:t>
      </w:r>
      <w:r>
        <w:t xml:space="preserve"> </w:t>
      </w:r>
      <w:r>
        <w:t xml:space="preserve">“</w:t>
      </w:r>
      <w:r>
        <w:t xml:space="preserve">the big trick.</w:t>
      </w:r>
      <w:r>
        <w:t xml:space="preserve">”</w:t>
      </w:r>
      <w:r>
        <w:t xml:space="preserve"> </w:t>
      </w:r>
      <w:r>
        <w:t xml:space="preserve">Zhang’s Pi-based Prime Agent offers subagents that outlive the root agent and can be prompted later [18].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Figma MCP workaround:</w:t>
      </w:r>
      <w:r>
        <w:t xml:space="preserve"> </w:t>
      </w:r>
      <w:r>
        <w:t xml:space="preserve">Kent C. Dodds suggests forking his</w:t>
      </w:r>
      <w:r>
        <w:t xml:space="preserve"> </w:t>
      </w:r>
      <w:hyperlink r:id="rId30">
        <w:r>
          <w:rPr>
            <w:rStyle w:val="Hyperlink"/>
          </w:rPr>
          <w:t xml:space="preserve">Kody Figma setup</w:t>
        </w:r>
      </w:hyperlink>
      <w:r>
        <w:t xml:space="preserve"> </w:t>
      </w:r>
      <w:r>
        <w:t xml:space="preserve">and asking your agent to set it up, which he says takes about five minutes [19]. He builds Kody.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Btrfs:</w:t>
      </w:r>
      <w:r>
        <w:t xml:space="preserve"> </w:t>
      </w:r>
      <w:r>
        <w:t xml:space="preserve">Peter Steinberger found copy-on-write great for worktrees but terrible for SQLite. The next OpenClaw update moves the database to a NOCOW location [20].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Making agent output easier to understand:</w:t>
      </w:r>
      <w:r>
        <w:t xml:space="preserve"> </w:t>
      </w:r>
      <w:r>
        <w:t xml:space="preserve">Karpathy suggests asking for ASD-STE100 controlled English (or</w:t>
      </w:r>
      <w:r>
        <w:t xml:space="preserve"> </w:t>
      </w:r>
      <w:r>
        <w:t xml:space="preserve">“</w:t>
      </w:r>
      <w:r>
        <w:t xml:space="preserve">80% of the way</w:t>
      </w:r>
      <w:r>
        <w:t xml:space="preserve">”</w:t>
      </w:r>
      <w:r>
        <w:t xml:space="preserve"> </w:t>
      </w:r>
      <w:r>
        <w:t xml:space="preserve">to it), diagrams, HTML pages, or</w:t>
      </w:r>
      <w:r>
        <w:t xml:space="preserve"> </w:t>
      </w:r>
      <w:r>
        <w:t xml:space="preserve">“</w:t>
      </w:r>
      <w:r>
        <w:t xml:space="preserve">a 3b1b style video explainer on X</w:t>
      </w:r>
      <w:r>
        <w:t xml:space="preserve">”</w:t>
      </w:r>
      <w:r>
        <w:t xml:space="preserve"> </w:t>
      </w:r>
      <w:r>
        <w:t xml:space="preserve">[21].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Security:</w:t>
      </w:r>
      <w:r>
        <w:t xml:space="preserve"> </w:t>
      </w:r>
      <w:r>
        <w:t xml:space="preserve">Matthew Green notes that agents in separate sandboxes left instructions for each other in a shared package cache, and those instructions changed what the recipients did. Swap the cache for email, Slack or shared docs and you have the makings of an agent worm [22].</w:t>
      </w:r>
    </w:p>
    <w:p>
      <w:r>
        <w:pict>
          <v:rect style="width:0;height:1.5pt" o:hralign="center" o:hrstd="t" o:hr="t"/>
        </w:pict>
      </w:r>
    </w:p>
    <w:bookmarkStart w:id="53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5"/>
        </w:numPr>
        <w:pStyle w:val="Compact"/>
      </w:pPr>
      <w:hyperlink r:id="rId31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@sydneyrunkle</w:t>
        </w:r>
      </w:hyperlink>
    </w:p>
    <w:p>
      <w:pPr>
        <w:numPr>
          <w:ilvl w:val="0"/>
          <w:numId w:val="1005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5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5"/>
        </w:numPr>
        <w:pStyle w:val="Compact"/>
      </w:pPr>
      <w:hyperlink r:id="rId34">
        <w:r>
          <w:rPr>
            <w:rStyle w:val="Hyperlink"/>
          </w:rPr>
          <w:t xml:space="preserve">If you have a Claude sub, watch this</w:t>
        </w:r>
      </w:hyperlink>
    </w:p>
    <w:p>
      <w:pPr>
        <w:numPr>
          <w:ilvl w:val="0"/>
          <w:numId w:val="1005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5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5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5"/>
        </w:numPr>
        <w:pStyle w:val="Compact"/>
      </w:pPr>
      <w:hyperlink r:id="rId38">
        <w:r>
          <w:rPr>
            <w:rStyle w:val="Hyperlink"/>
          </w:rPr>
          <w:t xml:space="preserve">The Pulse: RoR creator sparks new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death of coding by hand</w:t>
        </w:r>
        <w:r>
          <w:rPr>
            <w:rStyle w:val="Hyperlink"/>
          </w:rPr>
          <w:t xml:space="preserve">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debate</w:t>
        </w:r>
      </w:hyperlink>
    </w:p>
    <w:p>
      <w:pPr>
        <w:numPr>
          <w:ilvl w:val="0"/>
          <w:numId w:val="1005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@ClaudeDevs</w:t>
        </w:r>
      </w:hyperlink>
    </w:p>
    <w:p>
      <w:pPr>
        <w:numPr>
          <w:ilvl w:val="0"/>
          <w:numId w:val="1005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@bcherny</w:t>
        </w:r>
      </w:hyperlink>
    </w:p>
    <w:p>
      <w:pPr>
        <w:numPr>
          <w:ilvl w:val="0"/>
          <w:numId w:val="1005"/>
        </w:numPr>
        <w:pStyle w:val="Compact"/>
      </w:pPr>
      <w:hyperlink r:id="rId41">
        <w:r>
          <w:rPr>
            <w:rStyle w:val="Hyperlink"/>
          </w:rPr>
          <w:t xml:space="preserve">OpenAI’s Dots lead on the future of ChatGPT</w:t>
        </w:r>
      </w:hyperlink>
    </w:p>
    <w:p>
      <w:pPr>
        <w:numPr>
          <w:ilvl w:val="0"/>
          <w:numId w:val="1005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@rileybrown</w:t>
        </w:r>
      </w:hyperlink>
    </w:p>
    <w:p>
      <w:pPr>
        <w:numPr>
          <w:ilvl w:val="0"/>
          <w:numId w:val="1005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@thsottiaux</w:t>
        </w:r>
      </w:hyperlink>
    </w:p>
    <w:p>
      <w:pPr>
        <w:numPr>
          <w:ilvl w:val="0"/>
          <w:numId w:val="1005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@ThePrimeagen</w:t>
        </w:r>
      </w:hyperlink>
    </w:p>
    <w:p>
      <w:pPr>
        <w:numPr>
          <w:ilvl w:val="0"/>
          <w:numId w:val="1005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05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@LangChain_JS</w:t>
        </w:r>
      </w:hyperlink>
    </w:p>
    <w:p>
      <w:pPr>
        <w:numPr>
          <w:ilvl w:val="0"/>
          <w:numId w:val="1005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@pidotdev</w:t>
        </w:r>
      </w:hyperlink>
    </w:p>
    <w:p>
      <w:pPr>
        <w:numPr>
          <w:ilvl w:val="0"/>
          <w:numId w:val="1005"/>
        </w:numPr>
        <w:pStyle w:val="Compact"/>
      </w:pPr>
      <w:hyperlink r:id="rId48">
        <w:r>
          <w:rPr>
            <w:rStyle w:val="Hyperlink"/>
          </w:rPr>
          <w:t xml:space="preserve">Academia is for Ambition — Alex Zhang, MIT</w:t>
        </w:r>
      </w:hyperlink>
    </w:p>
    <w:p>
      <w:pPr>
        <w:numPr>
          <w:ilvl w:val="0"/>
          <w:numId w:val="1005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5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5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@karpathy</w:t>
        </w:r>
      </w:hyperlink>
    </w:p>
    <w:p>
      <w:pPr>
        <w:numPr>
          <w:ilvl w:val="0"/>
          <w:numId w:val="1005"/>
        </w:numPr>
        <w:pStyle w:val="Compact"/>
      </w:pPr>
      <w:hyperlink r:id="rId52">
        <w:r>
          <w:rPr>
            <w:rStyle w:val="Hyperlink"/>
          </w:rPr>
          <w:t xml:space="preserve">Quoting Matthew Green</w:t>
        </w:r>
      </w:hyperlink>
    </w:p>
    <w:bookmarkEnd w:id="53"/>
    <w:bookmarkEnd w:id="54"/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38" Target="https://blog.pragmaticengineer.com/the-pulse-ror-creator-sparks-new-death-of-coding-by-hand-debate" TargetMode="External" /><Relationship Type="http://schemas.openxmlformats.org/officeDocument/2006/relationships/hyperlink" Id="rId29" Target="https://earendil.com/posts/pi-1-0/" TargetMode="External" /><Relationship Type="http://schemas.openxmlformats.org/officeDocument/2006/relationships/hyperlink" Id="rId20" Target="https://github.com/langchain-ai/open-swe/blob/main/agent/middleware/model_selection.py" TargetMode="External" /><Relationship Type="http://schemas.openxmlformats.org/officeDocument/2006/relationships/hyperlink" Id="rId30" Target="https://kody.codes/@kody/figma" TargetMode="External" /><Relationship Type="http://schemas.openxmlformats.org/officeDocument/2006/relationships/hyperlink" Id="rId52" Target="https://simonwillison.net/2026/Oct/1/matthew-green" TargetMode="External" /><Relationship Type="http://schemas.openxmlformats.org/officeDocument/2006/relationships/hyperlink" Id="rId48" Target="https://www.latent.space/p/rlm" TargetMode="External" /><Relationship Type="http://schemas.openxmlformats.org/officeDocument/2006/relationships/hyperlink" Id="rId34" Target="https://www.youtube.com/watch?v=D8PikZ1KhUo" TargetMode="External" /><Relationship Type="http://schemas.openxmlformats.org/officeDocument/2006/relationships/hyperlink" Id="rId41" Target="https://www.youtube.com/watch?v=VnHOFQE7nCw" TargetMode="External" /><Relationship Type="http://schemas.openxmlformats.org/officeDocument/2006/relationships/hyperlink" Id="rId39" Target="https://x.com/ClaudeDevs/status/2105721434807083061" TargetMode="External" /><Relationship Type="http://schemas.openxmlformats.org/officeDocument/2006/relationships/hyperlink" Id="rId36" Target="https://x.com/GeoffreyHuntley/status/2105829115064615004" TargetMode="External" /><Relationship Type="http://schemas.openxmlformats.org/officeDocument/2006/relationships/hyperlink" Id="rId37" Target="https://x.com/GeoffreyHuntley/status/2105829426089082965" TargetMode="External" /><Relationship Type="http://schemas.openxmlformats.org/officeDocument/2006/relationships/hyperlink" Id="rId32" Target="https://x.com/LangChain/status/2105671430826230065" TargetMode="External" /><Relationship Type="http://schemas.openxmlformats.org/officeDocument/2006/relationships/hyperlink" Id="rId33" Target="https://x.com/LangChain/status/2105671433636794690" TargetMode="External" /><Relationship Type="http://schemas.openxmlformats.org/officeDocument/2006/relationships/hyperlink" Id="rId46" Target="https://x.com/LangChain_JS/status/2105744469547208842" TargetMode="External" /><Relationship Type="http://schemas.openxmlformats.org/officeDocument/2006/relationships/hyperlink" Id="rId44" Target="https://x.com/ThePrimeagen/status/2105840136902570138" TargetMode="External" /><Relationship Type="http://schemas.openxmlformats.org/officeDocument/2006/relationships/hyperlink" Id="rId40" Target="https://x.com/bcherny/status/2105756563302723721" TargetMode="External" /><Relationship Type="http://schemas.openxmlformats.org/officeDocument/2006/relationships/hyperlink" Id="rId45" Target="https://x.com/cursor_ai/status/2105787358557999585" TargetMode="External" /><Relationship Type="http://schemas.openxmlformats.org/officeDocument/2006/relationships/hyperlink" Id="rId31" Target="https://x.com/i/article/2105489324590645248" TargetMode="External" /><Relationship Type="http://schemas.openxmlformats.org/officeDocument/2006/relationships/hyperlink" Id="rId51" Target="https://x.com/karpathy/status/2105819303471976479" TargetMode="External" /><Relationship Type="http://schemas.openxmlformats.org/officeDocument/2006/relationships/hyperlink" Id="rId49" Target="https://x.com/kentcdodds/status/2105692703476572174" TargetMode="External" /><Relationship Type="http://schemas.openxmlformats.org/officeDocument/2006/relationships/hyperlink" Id="rId47" Target="https://x.com/pidotdev/status/2105738462712209603" TargetMode="External" /><Relationship Type="http://schemas.openxmlformats.org/officeDocument/2006/relationships/hyperlink" Id="rId42" Target="https://x.com/rileybrown/status/2105670426378535406" TargetMode="External" /><Relationship Type="http://schemas.openxmlformats.org/officeDocument/2006/relationships/hyperlink" Id="rId50" Target="https://x.com/steipete/status/2105720334821261330" TargetMode="External" /><Relationship Type="http://schemas.openxmlformats.org/officeDocument/2006/relationships/hyperlink" Id="rId35" Target="https://x.com/theo/status/2105854195253522501" TargetMode="External" /><Relationship Type="http://schemas.openxmlformats.org/officeDocument/2006/relationships/hyperlink" Id="rId43" Target="https://x.com/thsottiaux/status/2105843926221660585" TargetMode="External" /><Relationship Type="http://schemas.openxmlformats.org/officeDocument/2006/relationships/hyperlink" Id="rId25" Target="https://youtube.com/watch?v=D8PikZ1KhUo&amp;t=27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s://blog.pragmaticengineer.com/the-pulse-ror-creator-sparks-new-death-of-coding-by-hand-debate" TargetMode="External" /><Relationship Type="http://schemas.openxmlformats.org/officeDocument/2006/relationships/hyperlink" Id="rId29" Target="https://earendil.com/posts/pi-1-0/" TargetMode="External" /><Relationship Type="http://schemas.openxmlformats.org/officeDocument/2006/relationships/hyperlink" Id="rId20" Target="https://github.com/langchain-ai/open-swe/blob/main/agent/middleware/model_selection.py" TargetMode="External" /><Relationship Type="http://schemas.openxmlformats.org/officeDocument/2006/relationships/hyperlink" Id="rId30" Target="https://kody.codes/@kody/figma" TargetMode="External" /><Relationship Type="http://schemas.openxmlformats.org/officeDocument/2006/relationships/hyperlink" Id="rId52" Target="https://simonwillison.net/2026/Oct/1/matthew-green" TargetMode="External" /><Relationship Type="http://schemas.openxmlformats.org/officeDocument/2006/relationships/hyperlink" Id="rId48" Target="https://www.latent.space/p/rlm" TargetMode="External" /><Relationship Type="http://schemas.openxmlformats.org/officeDocument/2006/relationships/hyperlink" Id="rId34" Target="https://www.youtube.com/watch?v=D8PikZ1KhUo" TargetMode="External" /><Relationship Type="http://schemas.openxmlformats.org/officeDocument/2006/relationships/hyperlink" Id="rId41" Target="https://www.youtube.com/watch?v=VnHOFQE7nCw" TargetMode="External" /><Relationship Type="http://schemas.openxmlformats.org/officeDocument/2006/relationships/hyperlink" Id="rId39" Target="https://x.com/ClaudeDevs/status/2105721434807083061" TargetMode="External" /><Relationship Type="http://schemas.openxmlformats.org/officeDocument/2006/relationships/hyperlink" Id="rId36" Target="https://x.com/GeoffreyHuntley/status/2105829115064615004" TargetMode="External" /><Relationship Type="http://schemas.openxmlformats.org/officeDocument/2006/relationships/hyperlink" Id="rId37" Target="https://x.com/GeoffreyHuntley/status/2105829426089082965" TargetMode="External" /><Relationship Type="http://schemas.openxmlformats.org/officeDocument/2006/relationships/hyperlink" Id="rId32" Target="https://x.com/LangChain/status/2105671430826230065" TargetMode="External" /><Relationship Type="http://schemas.openxmlformats.org/officeDocument/2006/relationships/hyperlink" Id="rId33" Target="https://x.com/LangChain/status/2105671433636794690" TargetMode="External" /><Relationship Type="http://schemas.openxmlformats.org/officeDocument/2006/relationships/hyperlink" Id="rId46" Target="https://x.com/LangChain_JS/status/2105744469547208842" TargetMode="External" /><Relationship Type="http://schemas.openxmlformats.org/officeDocument/2006/relationships/hyperlink" Id="rId44" Target="https://x.com/ThePrimeagen/status/2105840136902570138" TargetMode="External" /><Relationship Type="http://schemas.openxmlformats.org/officeDocument/2006/relationships/hyperlink" Id="rId40" Target="https://x.com/bcherny/status/2105756563302723721" TargetMode="External" /><Relationship Type="http://schemas.openxmlformats.org/officeDocument/2006/relationships/hyperlink" Id="rId45" Target="https://x.com/cursor_ai/status/2105787358557999585" TargetMode="External" /><Relationship Type="http://schemas.openxmlformats.org/officeDocument/2006/relationships/hyperlink" Id="rId31" Target="https://x.com/i/article/2105489324590645248" TargetMode="External" /><Relationship Type="http://schemas.openxmlformats.org/officeDocument/2006/relationships/hyperlink" Id="rId51" Target="https://x.com/karpathy/status/2105819303471976479" TargetMode="External" /><Relationship Type="http://schemas.openxmlformats.org/officeDocument/2006/relationships/hyperlink" Id="rId49" Target="https://x.com/kentcdodds/status/2105692703476572174" TargetMode="External" /><Relationship Type="http://schemas.openxmlformats.org/officeDocument/2006/relationships/hyperlink" Id="rId47" Target="https://x.com/pidotdev/status/2105738462712209603" TargetMode="External" /><Relationship Type="http://schemas.openxmlformats.org/officeDocument/2006/relationships/hyperlink" Id="rId42" Target="https://x.com/rileybrown/status/2105670426378535406" TargetMode="External" /><Relationship Type="http://schemas.openxmlformats.org/officeDocument/2006/relationships/hyperlink" Id="rId50" Target="https://x.com/steipete/status/2105720334821261330" TargetMode="External" /><Relationship Type="http://schemas.openxmlformats.org/officeDocument/2006/relationships/hyperlink" Id="rId35" Target="https://x.com/theo/status/2105854195253522501" TargetMode="External" /><Relationship Type="http://schemas.openxmlformats.org/officeDocument/2006/relationships/hyperlink" Id="rId43" Target="https://x.com/thsottiaux/status/2105843926221660585" TargetMode="External" /><Relationship Type="http://schemas.openxmlformats.org/officeDocument/2006/relationships/hyperlink" Id="rId25" Target="https://youtube.com/watch?v=D8PikZ1KhUo&amp;t=27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Route each task to the cheapest capable model: LangChain cuts Open SWE's median thread cost 64% without hurting merge rates</dc:title>
  <dc:creator>Coding Agents Alpha Tracker</dc:creator>
  <cp:keywords/>
  <dcterms:created xsi:type="dcterms:W3CDTF">2026-10-03T03:25:44Z</dcterms:created>
  <dcterms:modified xsi:type="dcterms:W3CDTF">2026-10-03T03:25:44Z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2026-10-02</vt:lpwstr>
  </property>
</Properties>
</file>