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Rural Kenya Merchant Growth and M-Pesa Access Rails Strengthen Bitcoin Payments</w:t>
      </w:r>
    </w:p>
    <w:p>
      <w:pPr>
        <w:pStyle w:val="Author"/>
      </w:pPr>
      <w:r>
        <w:t xml:space="preserve">Bitcoin Payment Adoption Tracker</w:t>
      </w:r>
    </w:p>
    <w:p>
      <w:pPr>
        <w:pStyle w:val="Date"/>
      </w:pPr>
      <w:r>
        <w:t xml:space="preserve">2026-06-29</w:t>
      </w:r>
    </w:p>
    <w:bookmarkStart w:id="42" w:name="X08469a2f56ca241b0b09c6318f14297efeb4129"/>
    <w:p>
      <w:pPr>
        <w:pStyle w:val="Heading1"/>
      </w:pPr>
      <w:r>
        <w:t xml:space="preserve">Rural Kenya Merchant Growth and M-Pesa Access Rails Strengthen Bitcoin Payments</w:t>
      </w:r>
    </w:p>
    <w:p>
      <w:pPr>
        <w:pStyle w:val="FirstParagraph"/>
      </w:pPr>
      <w:r>
        <w:rPr>
          <w:iCs/>
          <w:i/>
        </w:rPr>
        <w:t xml:space="preserve">By Bitcoin Payment Adoption Tracker • June 29, 2026</w:t>
      </w:r>
    </w:p>
    <w:p>
      <w:pPr>
        <w:pStyle w:val="BodyText"/>
      </w:pPr>
      <w:r>
        <w:t xml:space="preserve">Four rural Kenya merchants surfaced on BTCMap, while a salon and print shop added new service-sector sats payments. The same batch also highlighted M-Pesa-to-Lightning-wallet onramps as enabling infrastructure, with no new regulatory changes or payment-volume data cited.</w:t>
      </w:r>
    </w:p>
    <w:bookmarkStart w:id="22" w:name="major-adoption-news"/>
    <w:p>
      <w:pPr>
        <w:pStyle w:val="Heading2"/>
      </w:pPr>
      <w:r>
        <w:t xml:space="preserve">Major Adoption News</w:t>
      </w:r>
    </w:p>
    <w:bookmarkStart w:id="20" w:name="rural-kenya"/>
    <w:p>
      <w:pPr>
        <w:pStyle w:val="Heading3"/>
      </w:pPr>
      <w:r>
        <w:t xml:space="preserve">Rural Kenya</w:t>
      </w:r>
    </w:p>
    <w:p>
      <w:pPr>
        <w:pStyle w:val="FirstParagraph"/>
      </w:pPr>
      <w:r>
        <w:t xml:space="preserve">Bitcoin Chama documented four rural Kenya merchants accepting Bitcoin over Lightning and listed on BTCMap:</w:t>
      </w:r>
    </w:p>
    <w:p>
      <w:pPr>
        <w:numPr>
          <w:ilvl w:val="0"/>
          <w:numId w:val="1001"/>
        </w:numPr>
        <w:pStyle w:val="Compact"/>
      </w:pPr>
      <w:r>
        <w:rPr>
          <w:rStyle w:val="VerbatimChar"/>
        </w:rPr>
        <w:t xml:space="preserve">bosibori@blink.sv</w:t>
      </w:r>
      <w:r>
        <w:t xml:space="preserve"> </w:t>
      </w:r>
      <w:r>
        <w:t xml:space="preserve">[1]</w:t>
      </w:r>
    </w:p>
    <w:p>
      <w:pPr>
        <w:numPr>
          <w:ilvl w:val="0"/>
          <w:numId w:val="1001"/>
        </w:numPr>
        <w:pStyle w:val="Compact"/>
      </w:pPr>
      <w:r>
        <w:rPr>
          <w:rStyle w:val="VerbatimChar"/>
        </w:rPr>
        <w:t xml:space="preserve">meshack100@blink.sv</w:t>
      </w:r>
      <w:r>
        <w:t xml:space="preserve"> </w:t>
      </w:r>
      <w:r>
        <w:t xml:space="preserve">[2]</w:t>
      </w:r>
    </w:p>
    <w:p>
      <w:pPr>
        <w:numPr>
          <w:ilvl w:val="0"/>
          <w:numId w:val="1001"/>
        </w:numPr>
        <w:pStyle w:val="Compact"/>
      </w:pPr>
      <w:r>
        <w:rPr>
          <w:rStyle w:val="VerbatimChar"/>
        </w:rPr>
        <w:t xml:space="preserve">Kemunto@blink.sv</w:t>
      </w:r>
      <w:r>
        <w:t xml:space="preserve"> </w:t>
      </w:r>
      <w:r>
        <w:t xml:space="preserve">[3]</w:t>
      </w:r>
    </w:p>
    <w:p>
      <w:pPr>
        <w:numPr>
          <w:ilvl w:val="0"/>
          <w:numId w:val="1001"/>
        </w:numPr>
        <w:pStyle w:val="Compact"/>
      </w:pPr>
      <w:r>
        <w:rPr>
          <w:rStyle w:val="VerbatimChar"/>
        </w:rPr>
        <w:t xml:space="preserve">rachael@8333.mobi</w:t>
      </w:r>
      <w:r>
        <w:t xml:space="preserve"> </w:t>
      </w:r>
      <w:r>
        <w:t xml:space="preserve">[4]</w:t>
      </w:r>
    </w:p>
    <w:p>
      <w:pPr>
        <w:pStyle w:val="FirstParagraph"/>
      </w:pPr>
      <w:r>
        <w:t xml:space="preserve">The posts framed these locations as Bitcoin being used as everyday money in rural Kenya [1, 2, 3, 4].</w:t>
      </w:r>
    </w:p>
    <w:p>
      <w:pPr>
        <w:pStyle w:val="BodyText"/>
      </w:pPr>
      <w:r>
        <w:rPr>
          <w:bCs/>
          <w:b/>
        </w:rPr>
        <w:t xml:space="preserve">Business impact:</w:t>
      </w:r>
      <w:r>
        <w:t xml:space="preserve"> </w:t>
      </w:r>
      <w:r>
        <w:t xml:space="preserve">Four discoverable merchant endpoints in one rural cluster is a concrete expansion of where Lightning can be spent, and the BTCMap listings make those spend locations easier to find [1, 2, 3, 4].</w:t>
      </w:r>
    </w:p>
    <w:bookmarkEnd w:id="20"/>
    <w:bookmarkStart w:id="21" w:name="X37992061e0856cddfa488a1d0084584615c3113"/>
    <w:p>
      <w:pPr>
        <w:pStyle w:val="Heading3"/>
      </w:pPr>
      <w:r>
        <w:t xml:space="preserve">Location not specified in the supplied material</w:t>
      </w:r>
    </w:p>
    <w:p>
      <w:pPr>
        <w:pStyle w:val="FirstParagraph"/>
      </w:pPr>
      <w:r>
        <w:t xml:space="preserve">Two additional service businesses were shown taking sats:</w:t>
      </w:r>
    </w:p>
    <w:p>
      <w:pPr>
        <w:numPr>
          <w:ilvl w:val="0"/>
          <w:numId w:val="1002"/>
        </w:numPr>
        <w:pStyle w:val="Compact"/>
      </w:pPr>
      <w:r>
        <w:rPr>
          <w:bCs/>
          <w:b/>
        </w:rPr>
        <w:t xml:space="preserve">Bliss hair salon</w:t>
      </w:r>
      <w:r>
        <w:t xml:space="preserve"> </w:t>
      </w:r>
      <w:r>
        <w:t xml:space="preserve">accepted a sats payment for a haircut via a Bitbiasharakids member’s phone and was linked to a BTCMap merchant page [5]</w:t>
      </w:r>
    </w:p>
    <w:p>
      <w:pPr>
        <w:numPr>
          <w:ilvl w:val="0"/>
          <w:numId w:val="1002"/>
        </w:numPr>
        <w:pStyle w:val="Compact"/>
      </w:pPr>
      <w:r>
        <w:rPr>
          <w:bCs/>
          <w:b/>
        </w:rPr>
        <w:t xml:space="preserve">Cyberpalace</w:t>
      </w:r>
      <w:r>
        <w:t xml:space="preserve"> </w:t>
      </w:r>
      <w:r>
        <w:t xml:space="preserve">accepted a Lightning payment for printing My First Bitcoin’s</w:t>
      </w:r>
      <w:r>
        <w:t xml:space="preserve"> </w:t>
      </w:r>
      <w:r>
        <w:t xml:space="preserve">“</w:t>
      </w:r>
      <w:r>
        <w:t xml:space="preserve">bitcoin for juniors</w:t>
      </w:r>
      <w:r>
        <w:t xml:space="preserve">”</w:t>
      </w:r>
      <w:r>
        <w:t xml:space="preserve"> </w:t>
      </w:r>
      <w:r>
        <w:t xml:space="preserve">course for the ongoing Bitbiasharakids program and was linked to a BTCMap merchant page [6]</w:t>
      </w:r>
    </w:p>
    <w:p>
      <w:pPr>
        <w:pStyle w:val="FirstParagraph"/>
      </w:pPr>
      <w:r>
        <w:rPr>
          <w:bCs/>
          <w:b/>
        </w:rPr>
        <w:t xml:space="preserve">Business impact:</w:t>
      </w:r>
      <w:r>
        <w:t xml:space="preserve"> </w:t>
      </w:r>
      <w:r>
        <w:t xml:space="preserve">These examples broaden the payment mix into personal care and printing, and they tie Bitcoin payments to education-related activity rather than only point-of-sale demos [5, 6].</w:t>
      </w:r>
    </w:p>
    <w:bookmarkEnd w:id="21"/>
    <w:bookmarkEnd w:id="22"/>
    <w:bookmarkStart w:id="24" w:name="payment-infrastructure"/>
    <w:p>
      <w:pPr>
        <w:pStyle w:val="Heading2"/>
      </w:pPr>
      <w:r>
        <w:t xml:space="preserve">Payment Infrastructure</w:t>
      </w:r>
    </w:p>
    <w:bookmarkStart w:id="23" w:name="X85ccbbc29bf9c97830f610351e73165174ca8b3"/>
    <w:p>
      <w:pPr>
        <w:pStyle w:val="Heading3"/>
      </w:pPr>
      <w:r>
        <w:t xml:space="preserve">M-Pesa-linked access rails — location not specified in the supplied material</w:t>
      </w:r>
    </w:p>
    <w:p>
      <w:pPr>
        <w:pStyle w:val="FirstParagraph"/>
      </w:pPr>
      <w:r>
        <w:t xml:space="preserve">Bitika described itself as a non-custodial conversion path from M-Pesa to Bitcoin Lightning wallets, saying it is</w:t>
      </w:r>
      <w:r>
        <w:t xml:space="preserve"> </w:t>
      </w:r>
      <w:r>
        <w:t xml:space="preserve">“</w:t>
      </w:r>
      <w:r>
        <w:t xml:space="preserve">not a wallet</w:t>
      </w:r>
      <w:r>
        <w:t xml:space="preserve">”</w:t>
      </w:r>
      <w:r>
        <w:t xml:space="preserve"> </w:t>
      </w:r>
      <w:r>
        <w:t xml:space="preserve">and does not hold user funds [7, 8].</w:t>
      </w:r>
    </w:p>
    <w:p>
      <w:pPr>
        <w:pStyle w:val="BlockText"/>
      </w:pPr>
      <w:r>
        <w:t xml:space="preserve">“</w:t>
      </w:r>
      <w:r>
        <w:t xml:space="preserve">Think of bitika as a pipe thru which fiat flows and converts to bitcoin⚡️</w:t>
      </w:r>
      <w:r>
        <w:t xml:space="preserve">”</w:t>
      </w:r>
      <w:r>
        <w:t xml:space="preserve"> </w:t>
      </w:r>
      <w:r>
        <w:t xml:space="preserve">[7]</w:t>
      </w:r>
    </w:p>
    <w:p>
      <w:pPr>
        <w:pStyle w:val="FirstParagraph"/>
      </w:pPr>
      <w:r>
        <w:t xml:space="preserve">A separate local post named</w:t>
      </w:r>
      <w:r>
        <w:t xml:space="preserve"> </w:t>
      </w:r>
      <w:r>
        <w:rPr>
          <w:bCs/>
          <w:b/>
        </w:rPr>
        <w:t xml:space="preserve">bitika_KE</w:t>
      </w:r>
      <w:r>
        <w:t xml:space="preserve"> </w:t>
      </w:r>
      <w:r>
        <w:t xml:space="preserve">and</w:t>
      </w:r>
      <w:r>
        <w:t xml:space="preserve"> </w:t>
      </w:r>
      <w:r>
        <w:rPr>
          <w:bCs/>
          <w:b/>
        </w:rPr>
        <w:t xml:space="preserve">minmo_to</w:t>
      </w:r>
      <w:r>
        <w:t xml:space="preserve"> </w:t>
      </w:r>
      <w:r>
        <w:t xml:space="preserve">as onramps that do not hold user funds and were described as cheaper than other methods [8].</w:t>
      </w:r>
    </w:p>
    <w:p>
      <w:pPr>
        <w:pStyle w:val="BodyText"/>
      </w:pPr>
      <w:r>
        <w:rPr>
          <w:bCs/>
          <w:b/>
        </w:rPr>
        <w:t xml:space="preserve">Significance:</w:t>
      </w:r>
      <w:r>
        <w:t xml:space="preserve"> </w:t>
      </w:r>
      <w:r>
        <w:t xml:space="preserve">The merchant examples in this batch are more usable when buyers can move directly from mobile money into Lightning-compatible wallets. The sourced material positions these services as access infrastructure for spending, not as custodial wallet products [7, 8].</w:t>
      </w:r>
    </w:p>
    <w:bookmarkEnd w:id="23"/>
    <w:bookmarkEnd w:id="24"/>
    <w:bookmarkStart w:id="26" w:name="regulatory-landscape"/>
    <w:p>
      <w:pPr>
        <w:pStyle w:val="Heading2"/>
      </w:pPr>
      <w:r>
        <w:t xml:space="preserve">Regulatory Landscape</w:t>
      </w:r>
    </w:p>
    <w:bookmarkStart w:id="25" w:name="africa"/>
    <w:p>
      <w:pPr>
        <w:pStyle w:val="Heading3"/>
      </w:pPr>
      <w:r>
        <w:t xml:space="preserve">Africa</w:t>
      </w:r>
    </w:p>
    <w:p>
      <w:pPr>
        <w:pStyle w:val="FirstParagraph"/>
      </w:pPr>
      <w:r>
        <w:t xml:space="preserve">No legal, tax, licensing, or enforcement changes affecting Bitcoin payments were cited in this batch. The supplied material was concentrated on merchant onboarding and payment-access tooling.</w:t>
      </w:r>
    </w:p>
    <w:bookmarkEnd w:id="25"/>
    <w:bookmarkEnd w:id="26"/>
    <w:bookmarkStart w:id="27" w:name="usage-metrics"/>
    <w:p>
      <w:pPr>
        <w:pStyle w:val="Heading2"/>
      </w:pPr>
      <w:r>
        <w:t xml:space="preserve">Usage Metrics</w:t>
      </w:r>
    </w:p>
    <w:p>
      <w:pPr>
        <w:pStyle w:val="FirstParagraph"/>
      </w:pPr>
      <w:r>
        <w:t xml:space="preserve">The supplied material did not include transaction volumes, active-user totals, or payment throughput data. The clearest measurable signals were:</w:t>
      </w:r>
    </w:p>
    <w:p>
      <w:pPr>
        <w:numPr>
          <w:ilvl w:val="0"/>
          <w:numId w:val="1003"/>
        </w:numPr>
        <w:pStyle w:val="Compact"/>
      </w:pPr>
      <w:r>
        <w:rPr>
          <w:bCs/>
          <w:b/>
        </w:rPr>
        <w:t xml:space="preserve">Rural Kenya:</w:t>
      </w:r>
      <w:r>
        <w:t xml:space="preserve"> </w:t>
      </w:r>
      <w:r>
        <w:t xml:space="preserve">four individual Lightning merchant listings surfaced in one batch [1, 2, 3, 4]</w:t>
      </w:r>
    </w:p>
    <w:p>
      <w:pPr>
        <w:numPr>
          <w:ilvl w:val="0"/>
          <w:numId w:val="1003"/>
        </w:numPr>
        <w:pStyle w:val="Compact"/>
      </w:pPr>
      <w:r>
        <w:rPr>
          <w:bCs/>
          <w:b/>
        </w:rPr>
        <w:t xml:space="preserve">Service-sector acceptance:</w:t>
      </w:r>
      <w:r>
        <w:t xml:space="preserve"> </w:t>
      </w:r>
      <w:r>
        <w:t xml:space="preserve">two additional merchant payment examples were documented, one salon and one print shop [5, 6]</w:t>
      </w:r>
    </w:p>
    <w:p>
      <w:pPr>
        <w:numPr>
          <w:ilvl w:val="0"/>
          <w:numId w:val="1003"/>
        </w:numPr>
        <w:pStyle w:val="Compact"/>
      </w:pPr>
      <w:r>
        <w:rPr>
          <w:bCs/>
          <w:b/>
        </w:rPr>
        <w:t xml:space="preserve">Onramp choice:</w:t>
      </w:r>
      <w:r>
        <w:t xml:space="preserve"> </w:t>
      </w:r>
      <w:r>
        <w:t xml:space="preserve">one local post named two non-custodial onramp services, Bitika and minmo_to [8]</w:t>
      </w:r>
    </w:p>
    <w:p>
      <w:pPr>
        <w:pStyle w:val="FirstParagraph"/>
      </w:pPr>
      <w:r>
        <w:t xml:space="preserve">Taken together, the batch documents at least</w:t>
      </w:r>
      <w:r>
        <w:t xml:space="preserve"> </w:t>
      </w:r>
      <w:r>
        <w:rPr>
          <w:bCs/>
          <w:b/>
        </w:rPr>
        <w:t xml:space="preserve">six</w:t>
      </w:r>
      <w:r>
        <w:t xml:space="preserve"> </w:t>
      </w:r>
      <w:r>
        <w:t xml:space="preserve">merchant or service-payment acceptance examples, with BTCMap links attached to the cited merchant posts [1, 2, 3, 4, 6, 5].</w:t>
      </w:r>
    </w:p>
    <w:bookmarkEnd w:id="27"/>
    <w:bookmarkStart w:id="31" w:name="emerging-markets"/>
    <w:p>
      <w:pPr>
        <w:pStyle w:val="Heading2"/>
      </w:pPr>
      <w:r>
        <w:t xml:space="preserve">Emerging Markets</w:t>
      </w:r>
    </w:p>
    <w:bookmarkStart w:id="28" w:name="rural-kenya-1"/>
    <w:p>
      <w:pPr>
        <w:pStyle w:val="Heading3"/>
      </w:pPr>
      <w:r>
        <w:t xml:space="preserve">Rural Kenya</w:t>
      </w:r>
    </w:p>
    <w:p>
      <w:pPr>
        <w:pStyle w:val="FirstParagraph"/>
      </w:pPr>
      <w:r>
        <w:t xml:space="preserve">The most geographically explicit adoption signal in this batch came from rural Kenya, where multiple Lightning merchants were documented publicly and mapped for discovery [1, 2, 3, 4]. This matters because the reported use case is ordinary spending rather than a one-off institutional integration [1, 2, 3, 4].</w:t>
      </w:r>
    </w:p>
    <w:bookmarkEnd w:id="28"/>
    <w:bookmarkStart w:id="29" w:name="X3f88a57d40625d2e9f3cdbca37ce1f7572d0e5d"/>
    <w:p>
      <w:pPr>
        <w:pStyle w:val="Heading3"/>
      </w:pPr>
      <w:r>
        <w:t xml:space="preserve">Education-linked services — location not specified in the supplied material</w:t>
      </w:r>
    </w:p>
    <w:p>
      <w:pPr>
        <w:pStyle w:val="FirstParagraph"/>
      </w:pPr>
      <w:r>
        <w:t xml:space="preserve">The haircut payment tied to Bitbiasharakids and the print order for a</w:t>
      </w:r>
      <w:r>
        <w:t xml:space="preserve"> </w:t>
      </w:r>
      <w:r>
        <w:t xml:space="preserve">“</w:t>
      </w:r>
      <w:r>
        <w:t xml:space="preserve">bitcoin for juniors</w:t>
      </w:r>
      <w:r>
        <w:t xml:space="preserve">”</w:t>
      </w:r>
      <w:r>
        <w:t xml:space="preserve"> </w:t>
      </w:r>
      <w:r>
        <w:t xml:space="preserve">course show Bitcoin payments appearing around youth-oriented educational activity as well as basic services [5, 6].</w:t>
      </w:r>
    </w:p>
    <w:bookmarkEnd w:id="29"/>
    <w:bookmarkStart w:id="30" w:name="X928bcbff08c78481c49d728f748c2e06d45a80a"/>
    <w:p>
      <w:pPr>
        <w:pStyle w:val="Heading3"/>
      </w:pPr>
      <w:r>
        <w:t xml:space="preserve">Mobile-money conversion — location not specified in the supplied material</w:t>
      </w:r>
    </w:p>
    <w:p>
      <w:pPr>
        <w:pStyle w:val="FirstParagraph"/>
      </w:pPr>
      <w:r>
        <w:t xml:space="preserve">The Bitika flow shows payment access being built around an existing mobile-money rail: M-Pesa in, Bitcoin wallet out, without the service holding funds [7, 8]. The structure described by the source links Bitcoin payment access to user wallets rather than to a custodial balance held inside the onramp [7, 8].</w:t>
      </w:r>
    </w:p>
    <w:bookmarkEnd w:id="30"/>
    <w:bookmarkEnd w:id="31"/>
    <w:bookmarkStart w:id="41" w:name="adoption-outlook"/>
    <w:p>
      <w:pPr>
        <w:pStyle w:val="Heading2"/>
      </w:pPr>
      <w:r>
        <w:t xml:space="preserve">Adoption Outlook</w:t>
      </w:r>
    </w:p>
    <w:p>
      <w:pPr>
        <w:pStyle w:val="FirstParagraph"/>
      </w:pPr>
      <w:r>
        <w:t xml:space="preserve">This batch points to steady, small-scale growth in Bitcoin payments rather than a single large integration. The strongest signals were four mapped Lightning merchants in rural Kenya, two additional service-payment examples, and an M-Pesa-linked onramp model designed to move users into their own Bitcoin wallets without holding funds [1, 2, 3, 4, 7, 8, 6, 5].</w:t>
      </w:r>
    </w:p>
    <w:p>
      <w:pPr>
        <w:pStyle w:val="BodyText"/>
      </w:pPr>
      <w:r>
        <w:t xml:space="preserve">The main gaps in the supplied material remain</w:t>
      </w:r>
      <w:r>
        <w:t xml:space="preserve"> </w:t>
      </w:r>
      <w:r>
        <w:rPr>
          <w:bCs/>
          <w:b/>
        </w:rPr>
        <w:t xml:space="preserve">measurement</w:t>
      </w:r>
      <w:r>
        <w:t xml:space="preserve"> </w:t>
      </w:r>
      <w:r>
        <w:t xml:space="preserve">and</w:t>
      </w:r>
      <w:r>
        <w:t xml:space="preserve"> </w:t>
      </w:r>
      <w:r>
        <w:rPr>
          <w:bCs/>
          <w:b/>
        </w:rPr>
        <w:t xml:space="preserve">regulation</w:t>
      </w:r>
      <w:r>
        <w:t xml:space="preserve">. No transaction totals or user counts were provided, and no formal policy changes were cited. Within those limits, the evidence shows Bitcoin being used for rural merchant payments, personal services, and education-linked transactions, with mobile-money-to-Lightning access emerging as an enabling rail [1, 2, 3, 4, 7, 8, 6, 5].</w:t>
      </w:r>
    </w:p>
    <w:p>
      <w:r>
        <w:pict>
          <v:rect style="width:0;height:1.5pt" o:hralign="center" o:hrstd="t" o:hr="t"/>
        </w:pict>
      </w:r>
    </w:p>
    <w:bookmarkStart w:id="40" w:name="sources"/>
    <w:p>
      <w:pPr>
        <w:pStyle w:val="Heading3"/>
      </w:pPr>
      <w:r>
        <w:t xml:space="preserve">Sources</w:t>
      </w:r>
    </w:p>
    <w:p>
      <w:pPr>
        <w:numPr>
          <w:ilvl w:val="0"/>
          <w:numId w:val="1004"/>
        </w:numPr>
        <w:pStyle w:val="Compact"/>
      </w:pPr>
      <w:hyperlink r:id="rId32">
        <w:r>
          <w:rPr>
            <w:rStyle w:val="Hyperlink"/>
          </w:rPr>
          <w:t xml:space="preserve">𝕏 post by</w:t>
        </w:r>
        <w:r>
          <w:rPr>
            <w:rStyle w:val="Hyperlink"/>
          </w:rPr>
          <w:t xml:space="preserve"> </w:t>
        </w:r>
        <w:r>
          <w:rPr>
            <w:rStyle w:val="Hyperlink"/>
          </w:rPr>
          <w:t xml:space="preserve">@Bitcoinchama</w:t>
        </w:r>
      </w:hyperlink>
    </w:p>
    <w:p>
      <w:pPr>
        <w:numPr>
          <w:ilvl w:val="0"/>
          <w:numId w:val="1004"/>
        </w:numPr>
        <w:pStyle w:val="Compact"/>
      </w:pPr>
      <w:hyperlink r:id="rId33">
        <w:r>
          <w:rPr>
            <w:rStyle w:val="Hyperlink"/>
          </w:rPr>
          <w:t xml:space="preserve">𝕏 post by</w:t>
        </w:r>
        <w:r>
          <w:rPr>
            <w:rStyle w:val="Hyperlink"/>
          </w:rPr>
          <w:t xml:space="preserve"> </w:t>
        </w:r>
        <w:r>
          <w:rPr>
            <w:rStyle w:val="Hyperlink"/>
          </w:rPr>
          <w:t xml:space="preserve">@Bitcoinchama</w:t>
        </w:r>
      </w:hyperlink>
    </w:p>
    <w:p>
      <w:pPr>
        <w:numPr>
          <w:ilvl w:val="0"/>
          <w:numId w:val="1004"/>
        </w:numPr>
        <w:pStyle w:val="Compact"/>
      </w:pPr>
      <w:hyperlink r:id="rId34">
        <w:r>
          <w:rPr>
            <w:rStyle w:val="Hyperlink"/>
          </w:rPr>
          <w:t xml:space="preserve">𝕏 post by</w:t>
        </w:r>
        <w:r>
          <w:rPr>
            <w:rStyle w:val="Hyperlink"/>
          </w:rPr>
          <w:t xml:space="preserve"> </w:t>
        </w:r>
        <w:r>
          <w:rPr>
            <w:rStyle w:val="Hyperlink"/>
          </w:rPr>
          <w:t xml:space="preserve">@Bitcoinchama</w:t>
        </w:r>
      </w:hyperlink>
    </w:p>
    <w:p>
      <w:pPr>
        <w:numPr>
          <w:ilvl w:val="0"/>
          <w:numId w:val="1004"/>
        </w:numPr>
        <w:pStyle w:val="Compact"/>
      </w:pPr>
      <w:hyperlink r:id="rId35">
        <w:r>
          <w:rPr>
            <w:rStyle w:val="Hyperlink"/>
          </w:rPr>
          <w:t xml:space="preserve">𝕏 post by</w:t>
        </w:r>
        <w:r>
          <w:rPr>
            <w:rStyle w:val="Hyperlink"/>
          </w:rPr>
          <w:t xml:space="preserve"> </w:t>
        </w:r>
        <w:r>
          <w:rPr>
            <w:rStyle w:val="Hyperlink"/>
          </w:rPr>
          <w:t xml:space="preserve">@Bitcoinchama</w:t>
        </w:r>
      </w:hyperlink>
    </w:p>
    <w:p>
      <w:pPr>
        <w:numPr>
          <w:ilvl w:val="0"/>
          <w:numId w:val="1004"/>
        </w:numPr>
        <w:pStyle w:val="Compact"/>
      </w:pPr>
      <w:hyperlink r:id="rId36">
        <w:r>
          <w:rPr>
            <w:rStyle w:val="Hyperlink"/>
          </w:rPr>
          <w:t xml:space="preserve">𝕏 post by</w:t>
        </w:r>
        <w:r>
          <w:rPr>
            <w:rStyle w:val="Hyperlink"/>
          </w:rPr>
          <w:t xml:space="preserve"> </w:t>
        </w:r>
        <w:r>
          <w:rPr>
            <w:rStyle w:val="Hyperlink"/>
          </w:rPr>
          <w:t xml:space="preserve">@BitBiashara</w:t>
        </w:r>
      </w:hyperlink>
    </w:p>
    <w:p>
      <w:pPr>
        <w:numPr>
          <w:ilvl w:val="0"/>
          <w:numId w:val="1004"/>
        </w:numPr>
        <w:pStyle w:val="Compact"/>
      </w:pPr>
      <w:hyperlink r:id="rId37">
        <w:r>
          <w:rPr>
            <w:rStyle w:val="Hyperlink"/>
          </w:rPr>
          <w:t xml:space="preserve">𝕏 post by</w:t>
        </w:r>
        <w:r>
          <w:rPr>
            <w:rStyle w:val="Hyperlink"/>
          </w:rPr>
          <w:t xml:space="preserve"> </w:t>
        </w:r>
        <w:r>
          <w:rPr>
            <w:rStyle w:val="Hyperlink"/>
          </w:rPr>
          <w:t xml:space="preserve">@BitBiashara</w:t>
        </w:r>
      </w:hyperlink>
    </w:p>
    <w:p>
      <w:pPr>
        <w:numPr>
          <w:ilvl w:val="0"/>
          <w:numId w:val="1004"/>
        </w:numPr>
        <w:pStyle w:val="Compact"/>
      </w:pPr>
      <w:hyperlink r:id="rId38">
        <w:r>
          <w:rPr>
            <w:rStyle w:val="Hyperlink"/>
          </w:rPr>
          <w:t xml:space="preserve">𝕏 post by</w:t>
        </w:r>
        <w:r>
          <w:rPr>
            <w:rStyle w:val="Hyperlink"/>
          </w:rPr>
          <w:t xml:space="preserve"> </w:t>
        </w:r>
        <w:r>
          <w:rPr>
            <w:rStyle w:val="Hyperlink"/>
          </w:rPr>
          <w:t xml:space="preserve">@bitika_KE</w:t>
        </w:r>
      </w:hyperlink>
    </w:p>
    <w:p>
      <w:pPr>
        <w:numPr>
          <w:ilvl w:val="0"/>
          <w:numId w:val="1004"/>
        </w:numPr>
        <w:pStyle w:val="Compact"/>
      </w:pPr>
      <w:hyperlink r:id="rId39">
        <w:r>
          <w:rPr>
            <w:rStyle w:val="Hyperlink"/>
          </w:rPr>
          <w:t xml:space="preserve">𝕏 post by</w:t>
        </w:r>
        <w:r>
          <w:rPr>
            <w:rStyle w:val="Hyperlink"/>
          </w:rPr>
          <w:t xml:space="preserve"> </w:t>
        </w:r>
        <w:r>
          <w:rPr>
            <w:rStyle w:val="Hyperlink"/>
          </w:rPr>
          <w:t xml:space="preserve">@Btc_Stoic_</w:t>
        </w:r>
      </w:hyperlink>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6" Target="https://x.com/BitBiashara/status/2071221124403270097" TargetMode="External" /><Relationship Type="http://schemas.openxmlformats.org/officeDocument/2006/relationships/hyperlink" Id="rId37" Target="https://x.com/BitBiashara/status/2071253979338543245" TargetMode="External" /><Relationship Type="http://schemas.openxmlformats.org/officeDocument/2006/relationships/hyperlink" Id="rId35" Target="https://x.com/Bitcoinchama/status/2071216694698135670" TargetMode="External" /><Relationship Type="http://schemas.openxmlformats.org/officeDocument/2006/relationships/hyperlink" Id="rId34" Target="https://x.com/Bitcoinchama/status/2071216854408839168" TargetMode="External" /><Relationship Type="http://schemas.openxmlformats.org/officeDocument/2006/relationships/hyperlink" Id="rId33" Target="https://x.com/Bitcoinchama/status/2071217005273727052" TargetMode="External" /><Relationship Type="http://schemas.openxmlformats.org/officeDocument/2006/relationships/hyperlink" Id="rId32" Target="https://x.com/Bitcoinchama/status/2071217146143646114" TargetMode="External" /><Relationship Type="http://schemas.openxmlformats.org/officeDocument/2006/relationships/hyperlink" Id="rId39" Target="https://x.com/Btc_Stoic_/status/2071111570155823341" TargetMode="External" /><Relationship Type="http://schemas.openxmlformats.org/officeDocument/2006/relationships/hyperlink" Id="rId38" Target="https://x.com/bitika_KE/status/2071202339520663683" TargetMode="External" /></Relationships>
</file>

<file path=word/_rels/footnotes.xml.rels><?xml version="1.0" encoding="UTF-8"?><Relationships xmlns="http://schemas.openxmlformats.org/package/2006/relationships"><Relationship Type="http://schemas.openxmlformats.org/officeDocument/2006/relationships/hyperlink" Id="rId36" Target="https://x.com/BitBiashara/status/2071221124403270097" TargetMode="External" /><Relationship Type="http://schemas.openxmlformats.org/officeDocument/2006/relationships/hyperlink" Id="rId37" Target="https://x.com/BitBiashara/status/2071253979338543245" TargetMode="External" /><Relationship Type="http://schemas.openxmlformats.org/officeDocument/2006/relationships/hyperlink" Id="rId35" Target="https://x.com/Bitcoinchama/status/2071216694698135670" TargetMode="External" /><Relationship Type="http://schemas.openxmlformats.org/officeDocument/2006/relationships/hyperlink" Id="rId34" Target="https://x.com/Bitcoinchama/status/2071216854408839168" TargetMode="External" /><Relationship Type="http://schemas.openxmlformats.org/officeDocument/2006/relationships/hyperlink" Id="rId33" Target="https://x.com/Bitcoinchama/status/2071217005273727052" TargetMode="External" /><Relationship Type="http://schemas.openxmlformats.org/officeDocument/2006/relationships/hyperlink" Id="rId32" Target="https://x.com/Bitcoinchama/status/2071217146143646114" TargetMode="External" /><Relationship Type="http://schemas.openxmlformats.org/officeDocument/2006/relationships/hyperlink" Id="rId39" Target="https://x.com/Btc_Stoic_/status/2071111570155823341" TargetMode="External" /><Relationship Type="http://schemas.openxmlformats.org/officeDocument/2006/relationships/hyperlink" Id="rId38" Target="https://x.com/bitika_KE/status/20712023395206636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Rural Kenya Merchant Growth and M-Pesa Access Rails Strengthen Bitcoin Payments</dc:title>
  <dc:creator>Bitcoin Payment Adoption Tracker</dc:creator>
  <cp:keywords/>
  <dcterms:created xsi:type="dcterms:W3CDTF">2026-07-03T18:32:09Z</dcterms:created>
  <dcterms:modified xsi:type="dcterms:W3CDTF">2026-07-03T18:32:09Z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2026-06-29</vt:lpwstr>
  </property>
</Properties>
</file>