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Ruskin on beauty, Belsky on judgment, and Nvidia’s “synthetic hyperscaler”</w:t>
      </w:r>
    </w:p>
    <w:p>
      <w:pPr>
        <w:pStyle w:val="Author"/>
      </w:pPr>
      <w:r>
        <w:t xml:space="preserve">Recommended Reading from Tech Founders</w:t>
      </w:r>
    </w:p>
    <w:p>
      <w:pPr>
        <w:pStyle w:val="Date"/>
      </w:pPr>
      <w:r>
        <w:t xml:space="preserve">2026-08-13</w:t>
      </w:r>
    </w:p>
    <w:bookmarkStart w:id="33" w:name="X3197ebbe53812ea8d2535331c0580f51918bf30"/>
    <w:p>
      <w:pPr>
        <w:pStyle w:val="Heading1"/>
      </w:pPr>
      <w:r>
        <w:t xml:space="preserve">Ruskin on beauty, Belsky on judgment, and Nvidia’s</w:t>
      </w:r>
      <w:r>
        <w:t xml:space="preserve"> </w:t>
      </w:r>
      <w:r>
        <w:t xml:space="preserve">“</w:t>
      </w:r>
      <w:r>
        <w:t xml:space="preserve">synthetic hyperscaler</w:t>
      </w:r>
      <w:r>
        <w:t xml:space="preserve">”</w:t>
      </w:r>
    </w:p>
    <w:p>
      <w:pPr>
        <w:pStyle w:val="FirstParagraph"/>
      </w:pPr>
      <w:r>
        <w:rPr>
          <w:iCs/>
          <w:i/>
        </w:rPr>
        <w:t xml:space="preserve">By Recommended Reading from Tech Founders • August 13, 2026</w:t>
      </w:r>
    </w:p>
    <w:p>
      <w:pPr>
        <w:pStyle w:val="BodyText"/>
      </w:pPr>
      <w:r>
        <w:t xml:space="preserve">A focused set of authentic recommendations from Patrick Collison, Keith Rabois, Andrew Chen, Jason Lemkin, and Brad Gerstner, spanning aesthetics, founder judgment, investor updates, and AI infrastructure.</w:t>
      </w:r>
    </w:p>
    <w:bookmarkStart w:id="20" w:name="Xf4358e527b6c96b0710bff33a0edfb1103b504b"/>
    <w:p>
      <w:pPr>
        <w:pStyle w:val="Heading2"/>
      </w:pPr>
      <w:r>
        <w:t xml:space="preserve">The standout: Patrick Collison’s primary texts on beauty</w:t>
      </w:r>
    </w:p>
    <w:p>
      <w:pPr>
        <w:pStyle w:val="FirstParagraph"/>
      </w:pPr>
      <w:r>
        <w:t xml:space="preserve">Patrick Collison’s most emphatic recommendation is John Ruskin’s</w:t>
      </w:r>
      <w:r>
        <w:t xml:space="preserve"> </w:t>
      </w:r>
      <w:r>
        <w:rPr>
          <w:iCs/>
          <w:i/>
        </w:rPr>
        <w:t xml:space="preserve">The Nature of Gothic</w:t>
      </w:r>
      <w:r>
        <w:t xml:space="preserve">: he calls it</w:t>
      </w:r>
      <w:r>
        <w:t xml:space="preserve"> </w:t>
      </w:r>
      <w:r>
        <w:t xml:space="preserve">“</w:t>
      </w:r>
      <w:r>
        <w:t xml:space="preserve">the best thing I’ve read this year</w:t>
      </w:r>
      <w:r>
        <w:t xml:space="preserve">”</w:t>
      </w:r>
      <w:r>
        <w:t xml:space="preserve"> </w:t>
      </w:r>
      <w:r>
        <w:t xml:space="preserve">while considering whether aesthetics connect to ethics and the good life. In the same discussion, he points to Solzhenitsyn’s Nobel Prize acceptance speech, saying its</w:t>
      </w:r>
      <w:r>
        <w:t xml:space="preserve"> </w:t>
      </w:r>
      <w:r>
        <w:t xml:space="preserve">“</w:t>
      </w:r>
      <w:r>
        <w:t xml:space="preserve">ancient triad</w:t>
      </w:r>
      <w:r>
        <w:t xml:space="preserve">”</w:t>
      </w:r>
      <w:r>
        <w:t xml:space="preserve"> </w:t>
      </w:r>
      <w:r>
        <w:t xml:space="preserve">of beauty, goodness, and truth—and its claim that beauty carries its own verification—moved him. [1]</w:t>
      </w:r>
    </w:p>
    <w:p>
      <w:pPr>
        <w:pStyle w:val="BodyText"/>
      </w:pPr>
      <w:r>
        <w:rPr>
          <w:iCs/>
          <w:i/>
          <w:bCs/>
          <w:b/>
        </w:rPr>
        <w:t xml:space="preserve">The Nature of Gothic</w:t>
      </w:r>
    </w:p>
    <w:p>
      <w:pPr>
        <w:numPr>
          <w:ilvl w:val="0"/>
          <w:numId w:val="1001"/>
        </w:numPr>
        <w:pStyle w:val="Compact"/>
      </w:pPr>
      <w:r>
        <w:rPr>
          <w:bCs/>
          <w:b/>
        </w:rPr>
        <w:t xml:space="preserve">Type:</w:t>
      </w:r>
      <w:r>
        <w:t xml:space="preserve"> </w:t>
      </w:r>
      <w:r>
        <w:t xml:space="preserve">Reading</w:t>
      </w:r>
    </w:p>
    <w:p>
      <w:pPr>
        <w:numPr>
          <w:ilvl w:val="0"/>
          <w:numId w:val="1001"/>
        </w:numPr>
        <w:pStyle w:val="Compact"/>
      </w:pPr>
      <w:r>
        <w:rPr>
          <w:bCs/>
          <w:b/>
        </w:rPr>
        <w:t xml:space="preserve">Creator:</w:t>
      </w:r>
      <w:r>
        <w:t xml:space="preserve"> </w:t>
      </w:r>
      <w:r>
        <w:t xml:space="preserve">John Ruskin</w:t>
      </w:r>
    </w:p>
    <w:p>
      <w:pPr>
        <w:numPr>
          <w:ilvl w:val="0"/>
          <w:numId w:val="1001"/>
        </w:numPr>
        <w:pStyle w:val="Compact"/>
      </w:pPr>
      <w:r>
        <w:rPr>
          <w:bCs/>
          <w:b/>
        </w:rPr>
        <w:t xml:space="preserve">URL:</w:t>
      </w:r>
      <w:r>
        <w:t xml:space="preserve"> </w:t>
      </w:r>
      <w:r>
        <w:t xml:space="preserve">No direct URL supplied in the interview</w:t>
      </w:r>
    </w:p>
    <w:p>
      <w:pPr>
        <w:numPr>
          <w:ilvl w:val="0"/>
          <w:numId w:val="1001"/>
        </w:numPr>
        <w:pStyle w:val="Compact"/>
      </w:pPr>
      <w:r>
        <w:rPr>
          <w:bCs/>
          <w:b/>
        </w:rPr>
        <w:t xml:space="preserve">Recommended by:</w:t>
      </w:r>
      <w:r>
        <w:t xml:space="preserve"> </w:t>
      </w:r>
      <w:r>
        <w:t xml:space="preserve">Patrick Collison</w:t>
      </w:r>
    </w:p>
    <w:p>
      <w:pPr>
        <w:numPr>
          <w:ilvl w:val="0"/>
          <w:numId w:val="1001"/>
        </w:numPr>
        <w:pStyle w:val="Compact"/>
      </w:pPr>
      <w:r>
        <w:rPr>
          <w:bCs/>
          <w:b/>
        </w:rPr>
        <w:t xml:space="preserve">Key takeaway:</w:t>
      </w:r>
      <w:r>
        <w:t xml:space="preserve"> </w:t>
      </w:r>
      <w:r>
        <w:t xml:space="preserve">Ruskin is presented as a thinker who took a serious connection between aesthetics and the good life. [1]</w:t>
      </w:r>
    </w:p>
    <w:p>
      <w:pPr>
        <w:numPr>
          <w:ilvl w:val="0"/>
          <w:numId w:val="1001"/>
        </w:numPr>
        <w:pStyle w:val="Compact"/>
      </w:pPr>
      <w:r>
        <w:rPr>
          <w:bCs/>
          <w:b/>
        </w:rPr>
        <w:t xml:space="preserve">Why it matters:</w:t>
      </w:r>
      <w:r>
        <w:t xml:space="preserve"> </w:t>
      </w:r>
      <w:r>
        <w:t xml:space="preserve">This is the clearest primary-text lead for the ethical question behind Collison’s interest in aesthetics—not simply what looks beautiful, but what relationship beauty might have to a life well lived. [1]</w:t>
      </w:r>
    </w:p>
    <w:p>
      <w:pPr>
        <w:pStyle w:val="FirstParagraph"/>
      </w:pPr>
      <w:r>
        <w:rPr>
          <w:bCs/>
          <w:b/>
        </w:rPr>
        <w:t xml:space="preserve">Solzhenitsyn’s Nobel Prize acceptance speech</w:t>
      </w:r>
    </w:p>
    <w:p>
      <w:pPr>
        <w:numPr>
          <w:ilvl w:val="0"/>
          <w:numId w:val="1002"/>
        </w:numPr>
        <w:pStyle w:val="Compact"/>
      </w:pPr>
      <w:r>
        <w:rPr>
          <w:bCs/>
          <w:b/>
        </w:rPr>
        <w:t xml:space="preserve">Type:</w:t>
      </w:r>
      <w:r>
        <w:t xml:space="preserve"> </w:t>
      </w:r>
      <w:r>
        <w:t xml:space="preserve">Speech</w:t>
      </w:r>
    </w:p>
    <w:p>
      <w:pPr>
        <w:numPr>
          <w:ilvl w:val="0"/>
          <w:numId w:val="1002"/>
        </w:numPr>
        <w:pStyle w:val="Compact"/>
      </w:pPr>
      <w:r>
        <w:rPr>
          <w:bCs/>
          <w:b/>
        </w:rPr>
        <w:t xml:space="preserve">Creator:</w:t>
      </w:r>
      <w:r>
        <w:t xml:space="preserve"> </w:t>
      </w:r>
      <w:r>
        <w:t xml:space="preserve">Solzhenitsyn</w:t>
      </w:r>
    </w:p>
    <w:p>
      <w:pPr>
        <w:numPr>
          <w:ilvl w:val="0"/>
          <w:numId w:val="1002"/>
        </w:numPr>
        <w:pStyle w:val="Compact"/>
      </w:pPr>
      <w:r>
        <w:rPr>
          <w:bCs/>
          <w:b/>
        </w:rPr>
        <w:t xml:space="preserve">URL:</w:t>
      </w:r>
      <w:r>
        <w:t xml:space="preserve"> </w:t>
      </w:r>
      <w:r>
        <w:t xml:space="preserve">No direct URL supplied in the interview</w:t>
      </w:r>
    </w:p>
    <w:p>
      <w:pPr>
        <w:numPr>
          <w:ilvl w:val="0"/>
          <w:numId w:val="1002"/>
        </w:numPr>
        <w:pStyle w:val="Compact"/>
      </w:pPr>
      <w:r>
        <w:rPr>
          <w:bCs/>
          <w:b/>
        </w:rPr>
        <w:t xml:space="preserve">Recommended by:</w:t>
      </w:r>
      <w:r>
        <w:t xml:space="preserve"> </w:t>
      </w:r>
      <w:r>
        <w:t xml:space="preserve">Patrick Collison</w:t>
      </w:r>
    </w:p>
    <w:p>
      <w:pPr>
        <w:numPr>
          <w:ilvl w:val="0"/>
          <w:numId w:val="1002"/>
        </w:numPr>
        <w:pStyle w:val="Compact"/>
      </w:pPr>
      <w:r>
        <w:rPr>
          <w:bCs/>
          <w:b/>
        </w:rPr>
        <w:t xml:space="preserve">Key takeaway:</w:t>
      </w:r>
      <w:r>
        <w:t xml:space="preserve"> </w:t>
      </w:r>
      <w:r>
        <w:t xml:space="preserve">Collison highlights the speech’s</w:t>
      </w:r>
      <w:r>
        <w:t xml:space="preserve"> </w:t>
      </w:r>
      <w:r>
        <w:t xml:space="preserve">“</w:t>
      </w:r>
      <w:r>
        <w:t xml:space="preserve">ancient triad</w:t>
      </w:r>
      <w:r>
        <w:t xml:space="preserve">”</w:t>
      </w:r>
      <w:r>
        <w:t xml:space="preserve"> </w:t>
      </w:r>
      <w:r>
        <w:t xml:space="preserve">of beauty, goodness, and truth, especially its argument that beauty is distinctive because it contains its own verification. [1]</w:t>
      </w:r>
    </w:p>
    <w:p>
      <w:pPr>
        <w:numPr>
          <w:ilvl w:val="0"/>
          <w:numId w:val="1002"/>
        </w:numPr>
        <w:pStyle w:val="Compact"/>
      </w:pPr>
      <w:r>
        <w:rPr>
          <w:bCs/>
          <w:b/>
        </w:rPr>
        <w:t xml:space="preserve">Why it matters:</w:t>
      </w:r>
      <w:r>
        <w:t xml:space="preserve"> </w:t>
      </w:r>
      <w:r>
        <w:t xml:space="preserve">It supplies a compact philosophical companion to Ruskin: beauty is treated not merely as preference, but as a possible route toward truths that are harder to establish through argument alone. [1]</w:t>
      </w:r>
    </w:p>
    <w:bookmarkEnd w:id="20"/>
    <w:bookmarkStart w:id="22" w:name="the-most-actionable-founder-heuristic"/>
    <w:p>
      <w:pPr>
        <w:pStyle w:val="Heading2"/>
      </w:pPr>
      <w:r>
        <w:t xml:space="preserve">The most actionable founder heuristic</w:t>
      </w:r>
    </w:p>
    <w:p>
      <w:pPr>
        <w:pStyle w:val="FirstParagraph"/>
      </w:pPr>
      <w:hyperlink r:id="rId21">
        <w:r>
          <w:rPr>
            <w:rStyle w:val="Hyperlink"/>
            <w:bCs/>
            <w:b/>
          </w:rPr>
          <w:t xml:space="preserve">“</w:t>
        </w:r>
        <w:r>
          <w:rPr>
            <w:rStyle w:val="Hyperlink"/>
            <w:bCs/>
            <w:b/>
          </w:rPr>
          <w:t xml:space="preserve">The more people you consult for advice, the more likely you’ll make a bad/average decision</w:t>
        </w:r>
        <w:r>
          <w:rPr>
            <w:rStyle w:val="Hyperlink"/>
            <w:bCs/>
            <w:b/>
          </w:rPr>
          <w:t xml:space="preserve">”</w:t>
        </w:r>
      </w:hyperlink>
    </w:p>
    <w:p>
      <w:pPr>
        <w:numPr>
          <w:ilvl w:val="0"/>
          <w:numId w:val="1003"/>
        </w:numPr>
        <w:pStyle w:val="Compact"/>
      </w:pPr>
      <w:r>
        <w:rPr>
          <w:bCs/>
          <w:b/>
        </w:rPr>
        <w:t xml:space="preserve">Type:</w:t>
      </w:r>
      <w:r>
        <w:t xml:space="preserve"> </w:t>
      </w:r>
      <w:r>
        <w:t xml:space="preserve">X post</w:t>
      </w:r>
    </w:p>
    <w:p>
      <w:pPr>
        <w:numPr>
          <w:ilvl w:val="0"/>
          <w:numId w:val="1003"/>
        </w:numPr>
        <w:pStyle w:val="Compact"/>
      </w:pPr>
      <w:r>
        <w:rPr>
          <w:bCs/>
          <w:b/>
        </w:rPr>
        <w:t xml:space="preserve">Creator:</w:t>
      </w:r>
      <w:r>
        <w:t xml:space="preserve"> </w:t>
      </w:r>
      <w:r>
        <w:t xml:space="preserve">Scott Belsky</w:t>
      </w:r>
    </w:p>
    <w:p>
      <w:pPr>
        <w:numPr>
          <w:ilvl w:val="0"/>
          <w:numId w:val="1003"/>
        </w:numPr>
        <w:pStyle w:val="Compact"/>
      </w:pPr>
      <w:r>
        <w:rPr>
          <w:bCs/>
          <w:b/>
        </w:rPr>
        <w:t xml:space="preserve">Recommended by:</w:t>
      </w:r>
      <w:r>
        <w:t xml:space="preserve"> </w:t>
      </w:r>
      <w:r>
        <w:t xml:space="preserve">Keith Rabois, who replied</w:t>
      </w:r>
      <w:r>
        <w:t xml:space="preserve"> </w:t>
      </w:r>
      <w:r>
        <w:t xml:space="preserve">“</w:t>
      </w:r>
      <w:r>
        <w:t xml:space="preserve">This!</w:t>
      </w:r>
      <w:r>
        <w:t xml:space="preserve">”</w:t>
      </w:r>
      <w:r>
        <w:t xml:space="preserve">, and Andrew Chen, who framed it as a red flag when founders cite what their friends said instead of reasoning from first principles. [2, 3]</w:t>
      </w:r>
    </w:p>
    <w:p>
      <w:pPr>
        <w:numPr>
          <w:ilvl w:val="0"/>
          <w:numId w:val="1003"/>
        </w:numPr>
        <w:pStyle w:val="Compact"/>
      </w:pPr>
      <w:r>
        <w:rPr>
          <w:bCs/>
          <w:b/>
        </w:rPr>
        <w:t xml:space="preserve">Key takeaway:</w:t>
      </w:r>
      <w:r>
        <w:t xml:space="preserve"> </w:t>
      </w:r>
      <w:r>
        <w:t xml:space="preserve">Belsky’s case against advice-by-committee is specific: people are generally risk-averse, may resent opportunities they lack, and often mix cynicism with useful criticism. [4]</w:t>
      </w:r>
    </w:p>
    <w:p>
      <w:pPr>
        <w:numPr>
          <w:ilvl w:val="0"/>
          <w:numId w:val="1003"/>
        </w:numPr>
        <w:pStyle w:val="Compact"/>
      </w:pPr>
      <w:r>
        <w:rPr>
          <w:bCs/>
          <w:b/>
        </w:rPr>
        <w:t xml:space="preserve">Why it matters:</w:t>
      </w:r>
      <w:r>
        <w:t xml:space="preserve"> </w:t>
      </w:r>
      <w:r>
        <w:t xml:space="preserve">This is a usable filter for high-stakes founder decisions: distinguish substantive criticism from the social comfort of collecting a</w:t>
      </w:r>
      <w:r>
        <w:t xml:space="preserve"> </w:t>
      </w:r>
      <w:r>
        <w:t xml:space="preserve">“</w:t>
      </w:r>
      <w:r>
        <w:t xml:space="preserve">friend vote</w:t>
      </w:r>
      <w:r>
        <w:t xml:space="preserve">”</w:t>
      </w:r>
      <w:r>
        <w:t xml:space="preserve"> </w:t>
      </w:r>
      <w:r>
        <w:t xml:space="preserve">before acting. [4, 3]</w:t>
      </w:r>
    </w:p>
    <w:bookmarkEnd w:id="22"/>
    <w:bookmarkStart w:id="24" w:name="X5afbffe8a1d4ba676fe0372a6b640a10f1ee02d"/>
    <w:p>
      <w:pPr>
        <w:pStyle w:val="Heading2"/>
      </w:pPr>
      <w:r>
        <w:t xml:space="preserve">AI infrastructure: read the operational and financing layer</w:t>
      </w:r>
    </w:p>
    <w:p>
      <w:pPr>
        <w:pStyle w:val="FirstParagraph"/>
      </w:pPr>
      <w:hyperlink r:id="rId23">
        <w:r>
          <w:rPr>
            <w:rStyle w:val="Hyperlink"/>
            <w:bCs/>
            <w:b/>
          </w:rPr>
          <w:t xml:space="preserve">“</w:t>
        </w:r>
        <w:r>
          <w:rPr>
            <w:rStyle w:val="Hyperlink"/>
            <w:bCs/>
            <w:b/>
          </w:rPr>
          <w:t xml:space="preserve">Nvidia is speedrunning the creation of a synthetic hyperscaler</w:t>
        </w:r>
        <w:r>
          <w:rPr>
            <w:rStyle w:val="Hyperlink"/>
            <w:bCs/>
            <w:b/>
          </w:rPr>
          <w:t xml:space="preserve">”</w:t>
        </w:r>
      </w:hyperlink>
    </w:p>
    <w:p>
      <w:pPr>
        <w:numPr>
          <w:ilvl w:val="0"/>
          <w:numId w:val="1004"/>
        </w:numPr>
        <w:pStyle w:val="Compact"/>
      </w:pPr>
      <w:r>
        <w:rPr>
          <w:bCs/>
          <w:b/>
        </w:rPr>
        <w:t xml:space="preserve">Type:</w:t>
      </w:r>
      <w:r>
        <w:t xml:space="preserve"> </w:t>
      </w:r>
      <w:r>
        <w:t xml:space="preserve">X analysis post</w:t>
      </w:r>
    </w:p>
    <w:p>
      <w:pPr>
        <w:numPr>
          <w:ilvl w:val="0"/>
          <w:numId w:val="1004"/>
        </w:numPr>
        <w:pStyle w:val="Compact"/>
      </w:pPr>
      <w:r>
        <w:rPr>
          <w:bCs/>
          <w:b/>
        </w:rPr>
        <w:t xml:space="preserve">Creator:</w:t>
      </w:r>
      <w:r>
        <w:t xml:space="preserve"> </w:t>
      </w:r>
      <w:r>
        <w:t xml:space="preserve">@_clarktang</w:t>
      </w:r>
    </w:p>
    <w:p>
      <w:pPr>
        <w:numPr>
          <w:ilvl w:val="0"/>
          <w:numId w:val="1004"/>
        </w:numPr>
        <w:pStyle w:val="Compact"/>
      </w:pPr>
      <w:r>
        <w:rPr>
          <w:bCs/>
          <w:b/>
        </w:rPr>
        <w:t xml:space="preserve">Recommended by:</w:t>
      </w:r>
      <w:r>
        <w:t xml:space="preserve"> </w:t>
      </w:r>
      <w:r>
        <w:t xml:space="preserve">Brad Gerstner, who called it</w:t>
      </w:r>
      <w:r>
        <w:t xml:space="preserve"> </w:t>
      </w:r>
      <w:r>
        <w:t xml:space="preserve">“</w:t>
      </w:r>
      <w:r>
        <w:t xml:space="preserve">Important framing.</w:t>
      </w:r>
      <w:r>
        <w:t xml:space="preserve">”</w:t>
      </w:r>
      <w:r>
        <w:t xml:space="preserve"> </w:t>
      </w:r>
      <w:r>
        <w:t xml:space="preserve">[5]</w:t>
      </w:r>
    </w:p>
    <w:p>
      <w:pPr>
        <w:numPr>
          <w:ilvl w:val="0"/>
          <w:numId w:val="1004"/>
        </w:numPr>
        <w:pStyle w:val="Compact"/>
      </w:pPr>
      <w:r>
        <w:rPr>
          <w:bCs/>
          <w:b/>
        </w:rPr>
        <w:t xml:space="preserve">Key takeaway:</w:t>
      </w:r>
      <w:r>
        <w:t xml:space="preserve"> </w:t>
      </w:r>
      <w:r>
        <w:t xml:space="preserve">Tang defines a hyperscaler as both a financial and operational system, then argues that Nvidia has assembled the operational layer—DSX OS, Mission Control, reference designs, digital twins, and Dynamo—and a financing layer based on revenue sharing and credit support that brings $500B of third-party capital to the market. [6]</w:t>
      </w:r>
    </w:p>
    <w:p>
      <w:pPr>
        <w:numPr>
          <w:ilvl w:val="0"/>
          <w:numId w:val="1004"/>
        </w:numPr>
        <w:pStyle w:val="Compact"/>
      </w:pPr>
      <w:r>
        <w:rPr>
          <w:bCs/>
          <w:b/>
        </w:rPr>
        <w:t xml:space="preserve">Why it matters:</w:t>
      </w:r>
      <w:r>
        <w:t xml:space="preserve"> </w:t>
      </w:r>
      <w:r>
        <w:t xml:space="preserve">The post offers a sharper way to assess AI infrastructure than looking only at chip demand: ask who is supplying the software, standardized designs, utilization model, and capital needed to run accelerated-compute fleets. Tang discloses that he may hold positions in companies mentioned and labels the post discourse rather than financial advice. [6]</w:t>
      </w:r>
    </w:p>
    <w:bookmarkEnd w:id="24"/>
    <w:bookmarkStart w:id="32" w:name="X5efdb4d4fa0643371a68eb21f6434ac3299f8aa"/>
    <w:p>
      <w:pPr>
        <w:pStyle w:val="Heading2"/>
      </w:pPr>
      <w:r>
        <w:t xml:space="preserve">Investor updates: momentum matters, but transparency is the durable asset</w:t>
      </w:r>
    </w:p>
    <w:p>
      <w:pPr>
        <w:pStyle w:val="FirstParagraph"/>
      </w:pPr>
      <w:hyperlink r:id="rId25">
        <w:r>
          <w:rPr>
            <w:rStyle w:val="Hyperlink"/>
            <w:bCs/>
            <w:b/>
          </w:rPr>
          <w:t xml:space="preserve">“</w:t>
        </w:r>
        <w:r>
          <w:rPr>
            <w:rStyle w:val="Hyperlink"/>
            <w:bCs/>
            <w:b/>
          </w:rPr>
          <w:t xml:space="preserve">My thoughts on investor updates</w:t>
        </w:r>
        <w:r>
          <w:rPr>
            <w:rStyle w:val="Hyperlink"/>
            <w:bCs/>
            <w:b/>
          </w:rPr>
          <w:t xml:space="preserve">”</w:t>
        </w:r>
      </w:hyperlink>
    </w:p>
    <w:p>
      <w:pPr>
        <w:numPr>
          <w:ilvl w:val="0"/>
          <w:numId w:val="1005"/>
        </w:numPr>
        <w:pStyle w:val="Compact"/>
      </w:pPr>
      <w:r>
        <w:rPr>
          <w:bCs/>
          <w:b/>
        </w:rPr>
        <w:t xml:space="preserve">Type:</w:t>
      </w:r>
      <w:r>
        <w:t xml:space="preserve"> </w:t>
      </w:r>
      <w:r>
        <w:t xml:space="preserve">X post</w:t>
      </w:r>
    </w:p>
    <w:p>
      <w:pPr>
        <w:numPr>
          <w:ilvl w:val="0"/>
          <w:numId w:val="1005"/>
        </w:numPr>
        <w:pStyle w:val="Compact"/>
      </w:pPr>
      <w:r>
        <w:rPr>
          <w:bCs/>
          <w:b/>
        </w:rPr>
        <w:t xml:space="preserve">Creator:</w:t>
      </w:r>
      <w:r>
        <w:t xml:space="preserve"> </w:t>
      </w:r>
      <w:r>
        <w:t xml:space="preserve">Keith Whor</w:t>
      </w:r>
    </w:p>
    <w:p>
      <w:pPr>
        <w:numPr>
          <w:ilvl w:val="0"/>
          <w:numId w:val="1005"/>
        </w:numPr>
        <w:pStyle w:val="Compact"/>
      </w:pPr>
      <w:r>
        <w:rPr>
          <w:bCs/>
          <w:b/>
        </w:rPr>
        <w:t xml:space="preserve">Recommended by:</w:t>
      </w:r>
      <w:r>
        <w:t xml:space="preserve"> </w:t>
      </w:r>
      <w:r>
        <w:t xml:space="preserve">Jason Lemkin, who called it</w:t>
      </w:r>
      <w:r>
        <w:t xml:space="preserve"> </w:t>
      </w:r>
      <w:r>
        <w:t xml:space="preserve">“</w:t>
      </w:r>
      <w:r>
        <w:t xml:space="preserve">good &amp; 100% accurate.</w:t>
      </w:r>
      <w:r>
        <w:t xml:space="preserve">”</w:t>
      </w:r>
      <w:r>
        <w:t xml:space="preserve"> </w:t>
      </w:r>
      <w:r>
        <w:t xml:space="preserve">[7]</w:t>
      </w:r>
    </w:p>
    <w:p>
      <w:pPr>
        <w:numPr>
          <w:ilvl w:val="0"/>
          <w:numId w:val="1005"/>
        </w:numPr>
        <w:pStyle w:val="Compact"/>
      </w:pPr>
      <w:r>
        <w:rPr>
          <w:bCs/>
          <w:b/>
        </w:rPr>
        <w:t xml:space="preserve">Key takeaway:</w:t>
      </w:r>
      <w:r>
        <w:t xml:space="preserve"> </w:t>
      </w:r>
      <w:r>
        <w:t xml:space="preserve">Whor’s model is that institutional investors read companies through momentum: weak momentum suggests a dying company, strong momentum invites doubling down, and their view can change within a single update once the numbers change. He contrasts that with angels and operators, who are more likely to help with the grind, and ends with transparency as the essential trust mechanism. [8]</w:t>
      </w:r>
    </w:p>
    <w:p>
      <w:pPr>
        <w:numPr>
          <w:ilvl w:val="0"/>
          <w:numId w:val="1005"/>
        </w:numPr>
        <w:pStyle w:val="Compact"/>
      </w:pPr>
      <w:r>
        <w:rPr>
          <w:bCs/>
          <w:b/>
        </w:rPr>
        <w:t xml:space="preserve">Why it matters:</w:t>
      </w:r>
      <w:r>
        <w:t xml:space="preserve"> </w:t>
      </w:r>
      <w:r>
        <w:t xml:space="preserve">For founders, the practical lesson is not to hide a cold period or optimize for a perfect narrative. Keep doing the work that changes the numbers, communicate transparently, and preserve the relationships that can help during a difficult raise. [8]</w:t>
      </w:r>
    </w:p>
    <w:p>
      <w:r>
        <w:pict>
          <v:rect style="width:0;height:1.5pt" o:hralign="center" o:hrstd="t" o:hr="t"/>
        </w:pict>
      </w:r>
    </w:p>
    <w:bookmarkStart w:id="31" w:name="sources"/>
    <w:p>
      <w:pPr>
        <w:pStyle w:val="Heading3"/>
      </w:pPr>
      <w:r>
        <w:t xml:space="preserve">Sources</w:t>
      </w:r>
    </w:p>
    <w:p>
      <w:pPr>
        <w:numPr>
          <w:ilvl w:val="0"/>
          <w:numId w:val="1006"/>
        </w:numPr>
        <w:pStyle w:val="Compact"/>
      </w:pPr>
      <w:hyperlink r:id="rId26">
        <w:r>
          <w:rPr>
            <w:rStyle w:val="Hyperlink"/>
          </w:rPr>
          <w:t xml:space="preserve">Patrick Collison: New Aesthetics, New Life | ZOË 2026</w:t>
        </w:r>
      </w:hyperlink>
    </w:p>
    <w:p>
      <w:pPr>
        <w:numPr>
          <w:ilvl w:val="0"/>
          <w:numId w:val="1006"/>
        </w:numPr>
        <w:pStyle w:val="Compact"/>
      </w:pPr>
      <w:hyperlink r:id="rId27">
        <w:r>
          <w:rPr>
            <w:rStyle w:val="Hyperlink"/>
          </w:rPr>
          <w:t xml:space="preserve">𝕏 post by</w:t>
        </w:r>
        <w:r>
          <w:rPr>
            <w:rStyle w:val="Hyperlink"/>
          </w:rPr>
          <w:t xml:space="preserve"> </w:t>
        </w:r>
        <w:r>
          <w:rPr>
            <w:rStyle w:val="Hyperlink"/>
          </w:rPr>
          <w:t xml:space="preserve">@rabois</w:t>
        </w:r>
      </w:hyperlink>
    </w:p>
    <w:p>
      <w:pPr>
        <w:numPr>
          <w:ilvl w:val="0"/>
          <w:numId w:val="1006"/>
        </w:numPr>
        <w:pStyle w:val="Compact"/>
      </w:pPr>
      <w:hyperlink r:id="rId28">
        <w:r>
          <w:rPr>
            <w:rStyle w:val="Hyperlink"/>
          </w:rPr>
          <w:t xml:space="preserve">𝕏 post by</w:t>
        </w:r>
        <w:r>
          <w:rPr>
            <w:rStyle w:val="Hyperlink"/>
          </w:rPr>
          <w:t xml:space="preserve"> </w:t>
        </w:r>
        <w:r>
          <w:rPr>
            <w:rStyle w:val="Hyperlink"/>
          </w:rPr>
          <w:t xml:space="preserve">@andrewchen</w:t>
        </w:r>
      </w:hyperlink>
    </w:p>
    <w:p>
      <w:pPr>
        <w:numPr>
          <w:ilvl w:val="0"/>
          <w:numId w:val="1006"/>
        </w:numPr>
        <w:pStyle w:val="Compact"/>
      </w:pPr>
      <w:hyperlink r:id="rId21">
        <w:r>
          <w:rPr>
            <w:rStyle w:val="Hyperlink"/>
          </w:rPr>
          <w:t xml:space="preserve">𝕏 post by</w:t>
        </w:r>
        <w:r>
          <w:rPr>
            <w:rStyle w:val="Hyperlink"/>
          </w:rPr>
          <w:t xml:space="preserve"> </w:t>
        </w:r>
        <w:r>
          <w:rPr>
            <w:rStyle w:val="Hyperlink"/>
          </w:rPr>
          <w:t xml:space="preserve">@scottbelsky</w:t>
        </w:r>
      </w:hyperlink>
    </w:p>
    <w:p>
      <w:pPr>
        <w:numPr>
          <w:ilvl w:val="0"/>
          <w:numId w:val="1006"/>
        </w:numPr>
        <w:pStyle w:val="Compact"/>
      </w:pPr>
      <w:hyperlink r:id="rId29">
        <w:r>
          <w:rPr>
            <w:rStyle w:val="Hyperlink"/>
          </w:rPr>
          <w:t xml:space="preserve">𝕏 post by</w:t>
        </w:r>
        <w:r>
          <w:rPr>
            <w:rStyle w:val="Hyperlink"/>
          </w:rPr>
          <w:t xml:space="preserve"> </w:t>
        </w:r>
        <w:r>
          <w:rPr>
            <w:rStyle w:val="Hyperlink"/>
          </w:rPr>
          <w:t xml:space="preserve">@altcap</w:t>
        </w:r>
      </w:hyperlink>
    </w:p>
    <w:p>
      <w:pPr>
        <w:numPr>
          <w:ilvl w:val="0"/>
          <w:numId w:val="1006"/>
        </w:numPr>
        <w:pStyle w:val="Compact"/>
      </w:pPr>
      <w:hyperlink r:id="rId23">
        <w:r>
          <w:rPr>
            <w:rStyle w:val="Hyperlink"/>
          </w:rPr>
          <w:t xml:space="preserve">𝕏 post by</w:t>
        </w:r>
        <w:r>
          <w:rPr>
            <w:rStyle w:val="Hyperlink"/>
          </w:rPr>
          <w:t xml:space="preserve"> </w:t>
        </w:r>
        <w:r>
          <w:rPr>
            <w:rStyle w:val="Hyperlink"/>
          </w:rPr>
          <w:t xml:space="preserve">@_clarktang</w:t>
        </w:r>
      </w:hyperlink>
    </w:p>
    <w:p>
      <w:pPr>
        <w:numPr>
          <w:ilvl w:val="0"/>
          <w:numId w:val="1006"/>
        </w:numPr>
        <w:pStyle w:val="Compact"/>
      </w:pPr>
      <w:hyperlink r:id="rId30">
        <w:r>
          <w:rPr>
            <w:rStyle w:val="Hyperlink"/>
          </w:rPr>
          <w:t xml:space="preserve">𝕏 post by</w:t>
        </w:r>
        <w:r>
          <w:rPr>
            <w:rStyle w:val="Hyperlink"/>
          </w:rPr>
          <w:t xml:space="preserve"> </w:t>
        </w:r>
        <w:r>
          <w:rPr>
            <w:rStyle w:val="Hyperlink"/>
          </w:rPr>
          <w:t xml:space="preserve">@jasonlk</w:t>
        </w:r>
      </w:hyperlink>
    </w:p>
    <w:p>
      <w:pPr>
        <w:numPr>
          <w:ilvl w:val="0"/>
          <w:numId w:val="1006"/>
        </w:numPr>
        <w:pStyle w:val="Compact"/>
      </w:pPr>
      <w:hyperlink r:id="rId25">
        <w:r>
          <w:rPr>
            <w:rStyle w:val="Hyperlink"/>
          </w:rPr>
          <w:t xml:space="preserve">𝕏 post by</w:t>
        </w:r>
        <w:r>
          <w:rPr>
            <w:rStyle w:val="Hyperlink"/>
          </w:rPr>
          <w:t xml:space="preserve"> </w:t>
        </w:r>
        <w:r>
          <w:rPr>
            <w:rStyle w:val="Hyperlink"/>
          </w:rPr>
          <w:t xml:space="preserve">@keithwhor</w:t>
        </w:r>
      </w:hyperlink>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www.youtube.com/watch?v=RT57Ez3OWVY" TargetMode="External" /><Relationship Type="http://schemas.openxmlformats.org/officeDocument/2006/relationships/hyperlink" Id="rId23" Target="https://x.com/_clarktang/status/2087498604147560937" TargetMode="External" /><Relationship Type="http://schemas.openxmlformats.org/officeDocument/2006/relationships/hyperlink" Id="rId29" Target="https://x.com/altcap/status/2087532286413619301" TargetMode="External" /><Relationship Type="http://schemas.openxmlformats.org/officeDocument/2006/relationships/hyperlink" Id="rId28" Target="https://x.com/andrewchen/status/2087632701843247444" TargetMode="External" /><Relationship Type="http://schemas.openxmlformats.org/officeDocument/2006/relationships/hyperlink" Id="rId30" Target="https://x.com/jasonlk/status/2087732841270693949" TargetMode="External" /><Relationship Type="http://schemas.openxmlformats.org/officeDocument/2006/relationships/hyperlink" Id="rId25" Target="https://x.com/keithwhor/status/2087646493050282380" TargetMode="External" /><Relationship Type="http://schemas.openxmlformats.org/officeDocument/2006/relationships/hyperlink" Id="rId27" Target="https://x.com/rabois/status/2087556392899240149" TargetMode="External" /><Relationship Type="http://schemas.openxmlformats.org/officeDocument/2006/relationships/hyperlink" Id="rId21" Target="https://x.com/scottbelsky/status/2087283610952855777" TargetMode="External" /></Relationships>
</file>

<file path=word/_rels/footnotes.xml.rels><?xml version="1.0" encoding="UTF-8"?><Relationships xmlns="http://schemas.openxmlformats.org/package/2006/relationships"><Relationship Type="http://schemas.openxmlformats.org/officeDocument/2006/relationships/hyperlink" Id="rId26" Target="https://www.youtube.com/watch?v=RT57Ez3OWVY" TargetMode="External" /><Relationship Type="http://schemas.openxmlformats.org/officeDocument/2006/relationships/hyperlink" Id="rId23" Target="https://x.com/_clarktang/status/2087498604147560937" TargetMode="External" /><Relationship Type="http://schemas.openxmlformats.org/officeDocument/2006/relationships/hyperlink" Id="rId29" Target="https://x.com/altcap/status/2087532286413619301" TargetMode="External" /><Relationship Type="http://schemas.openxmlformats.org/officeDocument/2006/relationships/hyperlink" Id="rId28" Target="https://x.com/andrewchen/status/2087632701843247444" TargetMode="External" /><Relationship Type="http://schemas.openxmlformats.org/officeDocument/2006/relationships/hyperlink" Id="rId30" Target="https://x.com/jasonlk/status/2087732841270693949" TargetMode="External" /><Relationship Type="http://schemas.openxmlformats.org/officeDocument/2006/relationships/hyperlink" Id="rId25" Target="https://x.com/keithwhor/status/2087646493050282380" TargetMode="External" /><Relationship Type="http://schemas.openxmlformats.org/officeDocument/2006/relationships/hyperlink" Id="rId27" Target="https://x.com/rabois/status/2087556392899240149" TargetMode="External" /><Relationship Type="http://schemas.openxmlformats.org/officeDocument/2006/relationships/hyperlink" Id="rId21" Target="https://x.com/scottbelsky/status/208728361095285577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Ruskin on beauty, Belsky on judgment, and Nvidia’s “synthetic hyperscaler”</dc:title>
  <dc:creator>Recommended Reading from Tech Founders</dc:creator>
  <cp:keywords/>
  <dcterms:created xsi:type="dcterms:W3CDTF">2026-08-13T23:07:10Z</dcterms:created>
  <dcterms:modified xsi:type="dcterms:W3CDTF">2026-08-13T23:07:10Z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2026-08-13</vt:lpwstr>
  </property>
</Properties>
</file>