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Security Strains the AI Stack as OpenAI Closes $122B Round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2026-04-01</w:t>
      </w:r>
    </w:p>
    <w:bookmarkStart w:id="41" w:name="Xfcc6d62987efde5958fe688e99910828b64d19a"/>
    <w:p>
      <w:pPr>
        <w:pStyle w:val="Heading1"/>
      </w:pPr>
      <w:r>
        <w:t xml:space="preserve">Security Strains the AI Stack as OpenAI Closes $122B Round</w:t>
      </w:r>
    </w:p>
    <w:p>
      <w:pPr>
        <w:pStyle w:val="FirstParagraph"/>
      </w:pPr>
      <w:r>
        <w:rPr>
          <w:iCs/>
          <w:i/>
        </w:rPr>
        <w:t xml:space="preserve">By AI News Digest • April 1, 2026</w:t>
      </w:r>
    </w:p>
    <w:p>
      <w:pPr>
        <w:pStyle w:val="BodyText"/>
      </w:pPr>
      <w:r>
        <w:t xml:space="preserve">Today’s digest centers on an unusually security-heavy news cycle, alongside OpenAI’s huge funding round, new efficiency pushes in open and edge AI, and signs that power and policy are becoming core parts of the AI story.</w:t>
      </w:r>
    </w:p>
    <w:bookmarkStart w:id="40" w:name="what-stood-out-today"/>
    <w:p>
      <w:pPr>
        <w:pStyle w:val="Heading2"/>
      </w:pPr>
      <w:r>
        <w:t xml:space="preserve">What stood out today</w:t>
      </w:r>
    </w:p>
    <w:p>
      <w:pPr>
        <w:pStyle w:val="FirstParagraph"/>
      </w:pPr>
      <w:r>
        <w:t xml:space="preserve">A lot happened, but two storylines carried the day: the AI software stack showed real security fragility, and the industry’s capital and infrastructure ambitions kept getting bigger.</w:t>
      </w:r>
    </w:p>
    <w:bookmarkStart w:id="20" w:name="X4419557879e32146383fd6724d884139d9c5087"/>
    <w:p>
      <w:pPr>
        <w:pStyle w:val="Heading3"/>
      </w:pPr>
      <w:r>
        <w:t xml:space="preserve">Security incidents exposed how fragile the AI software stack still is</w:t>
      </w:r>
    </w:p>
    <w:p>
      <w:pPr>
        <w:pStyle w:val="FirstParagraph"/>
      </w:pPr>
      <w:r>
        <w:t xml:space="preserve">The axios npm compromise was the sharpest example. Feross reported that</w:t>
      </w:r>
      <w:r>
        <w:t xml:space="preserve"> </w:t>
      </w:r>
      <w:r>
        <w:rPr>
          <w:bCs/>
          <w:b/>
        </w:rPr>
        <w:t xml:space="preserve">axios@1.14.1</w:t>
      </w:r>
      <w:r>
        <w:t xml:space="preserve"> </w:t>
      </w:r>
      <w:r>
        <w:t xml:space="preserve">began pulling a newly created package,</w:t>
      </w:r>
      <w:r>
        <w:t xml:space="preserve"> </w:t>
      </w:r>
      <w:r>
        <w:rPr>
          <w:bCs/>
          <w:b/>
        </w:rPr>
        <w:t xml:space="preserve">plain-crypto-js@4.2.1</w:t>
      </w:r>
      <w:r>
        <w:t xml:space="preserve">, which Socket classified as malware; the package deobfuscated payloads at runtime, loaded</w:t>
      </w:r>
      <w:r>
        <w:t xml:space="preserve"> </w:t>
      </w:r>
      <w:r>
        <w:rPr>
          <w:rStyle w:val="VerbatimChar"/>
        </w:rPr>
        <w:t xml:space="preserve">fs</w:t>
      </w:r>
      <w:r>
        <w:t xml:space="preserve">,</w:t>
      </w:r>
      <w:r>
        <w:t xml:space="preserve"> </w:t>
      </w:r>
      <w:r>
        <w:rPr>
          <w:rStyle w:val="VerbatimChar"/>
        </w:rPr>
        <w:t xml:space="preserve">os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execSync</w:t>
      </w:r>
      <w:r>
        <w:t xml:space="preserve">, executed shell commands, staged files in temp and ProgramData directories, and deleted evidence afterward [1]. Because axios sees</w:t>
      </w:r>
      <w:r>
        <w:t xml:space="preserve"> </w:t>
      </w:r>
      <w:r>
        <w:rPr>
          <w:bCs/>
          <w:b/>
        </w:rPr>
        <w:t xml:space="preserve">100M+ weekly downloads</w:t>
      </w:r>
      <w:r>
        <w:t xml:space="preserve">, the potential blast radius was large [1].</w:t>
      </w:r>
    </w:p>
    <w:p>
      <w:pPr>
        <w:pStyle w:val="BodyText"/>
      </w:pPr>
      <w:r>
        <w:t xml:space="preserve">The response time was notable too: Socket said it detected the issue within</w:t>
      </w:r>
      <w:r>
        <w:t xml:space="preserve"> </w:t>
      </w:r>
      <w:r>
        <w:rPr>
          <w:bCs/>
          <w:b/>
        </w:rPr>
        <w:t xml:space="preserve">~6 minutes</w:t>
      </w:r>
      <w:r>
        <w:t xml:space="preserve"> </w:t>
      </w:r>
      <w:r>
        <w:t xml:space="preserve">of publication, while Cognition said</w:t>
      </w:r>
      <w:r>
        <w:t xml:space="preserve"> </w:t>
      </w:r>
      <w:r>
        <w:rPr>
          <w:bCs/>
          <w:b/>
        </w:rPr>
        <w:t xml:space="preserve">Devin Review</w:t>
      </w:r>
      <w:r>
        <w:t xml:space="preserve"> </w:t>
      </w:r>
      <w:r>
        <w:t xml:space="preserve">alerted some customers</w:t>
      </w:r>
      <w:r>
        <w:t xml:space="preserve"> </w:t>
      </w:r>
      <w:r>
        <w:rPr>
          <w:bCs/>
          <w:b/>
        </w:rPr>
        <w:t xml:space="preserve">45 minutes after the attack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1.5 hours before</w:t>
      </w:r>
      <w:r>
        <w:t xml:space="preserve"> </w:t>
      </w:r>
      <w:r>
        <w:t xml:space="preserve">the public announcement [2, 3, 4]. Sarah Guo broadened the frame, pointing to the</w:t>
      </w:r>
      <w:r>
        <w:t xml:space="preserve"> </w:t>
      </w:r>
      <w:r>
        <w:rPr>
          <w:bCs/>
          <w:b/>
        </w:rPr>
        <w:t xml:space="preserve">TeamPCP</w:t>
      </w:r>
      <w:r>
        <w:t xml:space="preserve"> </w:t>
      </w:r>
      <w:r>
        <w:t xml:space="preserve">compromise of the Trivy build system, poisoned</w:t>
      </w:r>
      <w:r>
        <w:t xml:space="preserve"> </w:t>
      </w:r>
      <w:r>
        <w:rPr>
          <w:bCs/>
          <w:b/>
        </w:rPr>
        <w:t xml:space="preserve">LiteLLM</w:t>
      </w:r>
      <w:r>
        <w:t xml:space="preserve">, breaches at</w:t>
      </w:r>
      <w:r>
        <w:t xml:space="preserve"> </w:t>
      </w:r>
      <w:r>
        <w:rPr>
          <w:bCs/>
          <w:b/>
        </w:rPr>
        <w:t xml:space="preserve">Mercor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Cisco</w:t>
      </w:r>
      <w:r>
        <w:t xml:space="preserve">, Anthropic’s accidental exposure of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internals and documents on unreleased model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mythos</w:t>
      </w:r>
      <w:r>
        <w:rPr>
          <w:bCs/>
          <w:b/>
        </w:rPr>
        <w:t xml:space="preserve">”</w:t>
      </w:r>
      <w:r>
        <w:t xml:space="preserve"> </w:t>
      </w:r>
      <w:r>
        <w:t xml:space="preserve">(but not model weights), and Railway exposure as part of a</w:t>
      </w:r>
      <w:r>
        <w:t xml:space="preserve"> </w:t>
      </w:r>
      <w:r>
        <w:t xml:space="preserve">“</w:t>
      </w:r>
      <w:r>
        <w:t xml:space="preserve">very bad week in security</w:t>
      </w:r>
      <w:r>
        <w:t xml:space="preserve">”</w:t>
      </w:r>
      <w:r>
        <w:t xml:space="preserve"> </w:t>
      </w:r>
      <w:r>
        <w:t xml:space="preserve">for the AI ecosystem [5].</w:t>
      </w:r>
    </w:p>
    <w:p>
      <w:pPr>
        <w:pStyle w:val="BlockText"/>
      </w:pPr>
      <w:r>
        <w:t xml:space="preserve">“</w:t>
      </w:r>
      <w:r>
        <w:t xml:space="preserve">These aren’t failures of negligence, but what happens when systems/processes work as designed and still can’t be explained end to end. This is an industry-wide, structural problem.</w:t>
      </w:r>
      <w:r>
        <w:t xml:space="preserve">”</w:t>
      </w:r>
      <w:r>
        <w:t xml:space="preserve"> </w:t>
      </w:r>
      <w:r>
        <w:t xml:space="preserve">[6]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notes point to a familiar but sharper pattern: classic supply-chain failures are colliding with AI-accelerated software development, and AI-based defense is showing up as part of the response [5, 4].</w:t>
      </w:r>
    </w:p>
    <w:bookmarkEnd w:id="20"/>
    <w:bookmarkStart w:id="21" w:name="openai-locked-in-extraordinary-scale"/>
    <w:p>
      <w:pPr>
        <w:pStyle w:val="Heading3"/>
      </w:pPr>
      <w:r>
        <w:t xml:space="preserve">OpenAI locked in extraordinary scale</w:t>
      </w:r>
    </w:p>
    <w:p>
      <w:pPr>
        <w:pStyle w:val="FirstParagraph"/>
      </w:pPr>
      <w:r>
        <w:t xml:space="preserve">OpenAI said it closed its latest funding round with</w:t>
      </w:r>
      <w:r>
        <w:t xml:space="preserve"> </w:t>
      </w:r>
      <w:r>
        <w:rPr>
          <w:bCs/>
          <w:b/>
        </w:rPr>
        <w:t xml:space="preserve">$122 billion in committed capital</w:t>
      </w:r>
      <w:r>
        <w:t xml:space="preserve"> </w:t>
      </w:r>
      <w:r>
        <w:t xml:space="preserve">at an</w:t>
      </w:r>
      <w:r>
        <w:t xml:space="preserve"> </w:t>
      </w:r>
      <w:r>
        <w:rPr>
          <w:bCs/>
          <w:b/>
        </w:rPr>
        <w:t xml:space="preserve">$852B post-money valuation</w:t>
      </w:r>
      <w:r>
        <w:t xml:space="preserve"> </w:t>
      </w:r>
      <w:r>
        <w:t xml:space="preserve">[7]. The company said the capital gives it resources to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lead at scale</w:t>
      </w:r>
      <w:r>
        <w:rPr>
          <w:bCs/>
          <w:b/>
        </w:rPr>
        <w:t xml:space="preserve">”</w:t>
      </w:r>
      <w:r>
        <w:t xml:space="preserve"> </w:t>
      </w:r>
      <w:r>
        <w:t xml:space="preserve">and supports its strategy of putting useful intelligence in people’s hands early so access can compound globally [7].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was one of the clearest capital signals in today’s notes, and OpenAI is explicitly framing the round around scale and wider access [7].</w:t>
      </w:r>
    </w:p>
    <w:bookmarkEnd w:id="21"/>
    <w:bookmarkStart w:id="22" w:name="X8abc088a1f60bfe367b89f93e17b2c22ef0c17f"/>
    <w:p>
      <w:pPr>
        <w:pStyle w:val="Heading3"/>
      </w:pPr>
      <w:r>
        <w:t xml:space="preserve">Efficiency and open tooling kept pushing AI closer to local and in-house deployment</w:t>
      </w:r>
    </w:p>
    <w:p>
      <w:pPr>
        <w:pStyle w:val="FirstParagraph"/>
      </w:pPr>
      <w:r>
        <w:t xml:space="preserve">PrismML emerged from stealth with a thesis centered on</w:t>
      </w:r>
      <w:r>
        <w:t xml:space="preserve"> </w:t>
      </w:r>
      <w:r>
        <w:rPr>
          <w:bCs/>
          <w:b/>
        </w:rPr>
        <w:t xml:space="preserve">intelligence density</w:t>
      </w:r>
      <w:r>
        <w:t xml:space="preserve"> </w:t>
      </w:r>
      <w:r>
        <w:t xml:space="preserve">rather than sheer parameter count, and launched</w:t>
      </w:r>
      <w:r>
        <w:t xml:space="preserve"> </w:t>
      </w:r>
      <w:r>
        <w:rPr>
          <w:bCs/>
          <w:b/>
        </w:rPr>
        <w:t xml:space="preserve">1-bit Bonsai 8B</w:t>
      </w:r>
      <w:r>
        <w:t xml:space="preserve">, a</w:t>
      </w:r>
      <w:r>
        <w:t xml:space="preserve"> </w:t>
      </w:r>
      <w:r>
        <w:rPr>
          <w:bCs/>
          <w:b/>
        </w:rPr>
        <w:t xml:space="preserve">1.15 GB</w:t>
      </w:r>
      <w:r>
        <w:t xml:space="preserve"> </w:t>
      </w:r>
      <w:r>
        <w:t xml:space="preserve">model it says delivers</w:t>
      </w:r>
      <w:r>
        <w:t xml:space="preserve"> </w:t>
      </w:r>
      <w:r>
        <w:rPr>
          <w:bCs/>
          <w:b/>
        </w:rPr>
        <w:t xml:space="preserve">over 10x</w:t>
      </w:r>
      <w:r>
        <w:t xml:space="preserve"> </w:t>
      </w:r>
      <w:r>
        <w:t xml:space="preserve">the intelligence density of full-precision counterparts while being</w:t>
      </w:r>
      <w:r>
        <w:t xml:space="preserve"> </w:t>
      </w:r>
      <w:r>
        <w:rPr>
          <w:bCs/>
          <w:b/>
        </w:rPr>
        <w:t xml:space="preserve">14x smaller</w:t>
      </w:r>
      <w:r>
        <w:t xml:space="preserve">,</w:t>
      </w:r>
      <w:r>
        <w:t xml:space="preserve"> </w:t>
      </w:r>
      <w:r>
        <w:rPr>
          <w:bCs/>
          <w:b/>
        </w:rPr>
        <w:t xml:space="preserve">8x faster</w:t>
      </w:r>
      <w:r>
        <w:t xml:space="preserve">, and</w:t>
      </w:r>
      <w:r>
        <w:t xml:space="preserve"> </w:t>
      </w:r>
      <w:r>
        <w:rPr>
          <w:bCs/>
          <w:b/>
        </w:rPr>
        <w:t xml:space="preserve">5x more energy efficient</w:t>
      </w:r>
      <w:r>
        <w:t xml:space="preserve"> </w:t>
      </w:r>
      <w:r>
        <w:t xml:space="preserve">on edge hardware; it also open-sourced Bonsai</w:t>
      </w:r>
      <w:r>
        <w:t xml:space="preserve"> </w:t>
      </w:r>
      <w:r>
        <w:rPr>
          <w:bCs/>
          <w:b/>
        </w:rPr>
        <w:t xml:space="preserve">8B, 4B, and 1.7B</w:t>
      </w:r>
      <w:r>
        <w:t xml:space="preserve"> </w:t>
      </w:r>
      <w:r>
        <w:t xml:space="preserve">under Apache 2.0 [8]. The company argues this changes the design space for</w:t>
      </w:r>
      <w:r>
        <w:t xml:space="preserve"> </w:t>
      </w:r>
      <w:r>
        <w:rPr>
          <w:bCs/>
          <w:b/>
        </w:rPr>
        <w:t xml:space="preserve">on-device agents</w:t>
      </w:r>
      <w:r>
        <w:t xml:space="preserve">,</w:t>
      </w:r>
      <w:r>
        <w:t xml:space="preserve"> </w:t>
      </w:r>
      <w:r>
        <w:rPr>
          <w:bCs/>
          <w:b/>
        </w:rPr>
        <w:t xml:space="preserve">real-time robotics</w:t>
      </w:r>
      <w:r>
        <w:t xml:space="preserve">, and</w:t>
      </w:r>
      <w:r>
        <w:t xml:space="preserve"> </w:t>
      </w:r>
      <w:r>
        <w:rPr>
          <w:bCs/>
          <w:b/>
        </w:rPr>
        <w:t xml:space="preserve">offline intelligence</w:t>
      </w:r>
      <w:r>
        <w:t xml:space="preserve"> </w:t>
      </w:r>
      <w:r>
        <w:t xml:space="preserve">[8].</w:t>
      </w:r>
    </w:p>
    <w:p>
      <w:pPr>
        <w:pStyle w:val="BodyText"/>
      </w:pPr>
      <w:r>
        <w:t xml:space="preserve">On the tooling side, Hugging Face released</w:t>
      </w:r>
      <w:r>
        <w:t xml:space="preserve"> </w:t>
      </w:r>
      <w:r>
        <w:rPr>
          <w:bCs/>
          <w:b/>
        </w:rPr>
        <w:t xml:space="preserve">TRL v1</w:t>
      </w:r>
      <w:r>
        <w:t xml:space="preserve">, a post-training library with</w:t>
      </w:r>
      <w:r>
        <w:t xml:space="preserve"> </w:t>
      </w:r>
      <w:r>
        <w:rPr>
          <w:bCs/>
          <w:b/>
        </w:rPr>
        <w:t xml:space="preserve">75+ methods</w:t>
      </w:r>
      <w:r>
        <w:t xml:space="preserve"> </w:t>
      </w:r>
      <w:r>
        <w:t xml:space="preserve">including SFT, DPO, GRPO, and async RL [9]. Clement Delangue also said companies including</w:t>
      </w:r>
      <w:r>
        <w:t xml:space="preserve"> </w:t>
      </w:r>
      <w:r>
        <w:rPr>
          <w:bCs/>
          <w:b/>
        </w:rPr>
        <w:t xml:space="preserve">Pinterest, Airbnb, Notion, Cursor, and Intercom</w:t>
      </w:r>
      <w:r>
        <w:t xml:space="preserve"> </w:t>
      </w:r>
      <w:r>
        <w:t xml:space="preserve">are publicly finding it better, cheaper, and faster to use and train open models themselves for many tasks rather than rely on APIs, while</w:t>
      </w:r>
      <w:r>
        <w:t xml:space="preserve"> </w:t>
      </w:r>
      <w:r>
        <w:rPr>
          <w:bCs/>
          <w:b/>
        </w:rPr>
        <w:t xml:space="preserve">Gemma</w:t>
      </w:r>
      <w:r>
        <w:t xml:space="preserve"> </w:t>
      </w:r>
      <w:r>
        <w:t xml:space="preserve">reached</w:t>
      </w:r>
      <w:r>
        <w:t xml:space="preserve"> </w:t>
      </w:r>
      <w:r>
        <w:rPr>
          <w:bCs/>
          <w:b/>
        </w:rPr>
        <w:t xml:space="preserve">400M downloads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100,000 variants</w:t>
      </w:r>
      <w:r>
        <w:t xml:space="preserve"> </w:t>
      </w:r>
      <w:r>
        <w:t xml:space="preserve">two years after launch [10, 11].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shift here is not just another open release; it’s a deeper stack for training, compressing, and deploying models outside the default API path [9, 10, 8].</w:t>
      </w:r>
    </w:p>
    <w:bookmarkEnd w:id="22"/>
    <w:bookmarkStart w:id="23" w:name="Xd92f4f019d0f52efe5e8a1b509f694119b2e61e"/>
    <w:p>
      <w:pPr>
        <w:pStyle w:val="Heading3"/>
      </w:pPr>
      <w:r>
        <w:t xml:space="preserve">AI infrastructure is increasingly being designed around power, not just chips</w:t>
      </w:r>
    </w:p>
    <w:p>
      <w:pPr>
        <w:pStyle w:val="FirstParagraph"/>
      </w:pPr>
      <w:r>
        <w:t xml:space="preserve">NVIDIA and Emerald AI unveiled a model for treating AI factories as</w:t>
      </w:r>
      <w:r>
        <w:t xml:space="preserve"> </w:t>
      </w:r>
      <w:r>
        <w:rPr>
          <w:bCs/>
          <w:b/>
        </w:rPr>
        <w:t xml:space="preserve">flexible grid assets</w:t>
      </w:r>
      <w:r>
        <w:t xml:space="preserve"> </w:t>
      </w:r>
      <w:r>
        <w:t xml:space="preserve">rather than static loads, combining NVIDIA’s</w:t>
      </w:r>
      <w:r>
        <w:t xml:space="preserve"> </w:t>
      </w:r>
      <w:r>
        <w:rPr>
          <w:bCs/>
          <w:b/>
        </w:rPr>
        <w:t xml:space="preserve">Vera Rubin DSX</w:t>
      </w:r>
      <w:r>
        <w:t xml:space="preserve"> </w:t>
      </w:r>
      <w:r>
        <w:t xml:space="preserve">reference design with Emerald’s</w:t>
      </w:r>
      <w:r>
        <w:t xml:space="preserve"> </w:t>
      </w:r>
      <w:r>
        <w:rPr>
          <w:bCs/>
          <w:b/>
        </w:rPr>
        <w:t xml:space="preserve">Conductor</w:t>
      </w:r>
      <w:r>
        <w:t xml:space="preserve"> </w:t>
      </w:r>
      <w:r>
        <w:t xml:space="preserve">platform so AI factories can generate tokens while dynamically responding to grid conditions [12]. Energy companies including</w:t>
      </w:r>
      <w:r>
        <w:t xml:space="preserve"> </w:t>
      </w:r>
      <w:r>
        <w:rPr>
          <w:bCs/>
          <w:b/>
        </w:rPr>
        <w:t xml:space="preserve">AES, Constellation, Invenergy, NextEra Energy, Nscale, and Vistra</w:t>
      </w:r>
      <w:r>
        <w:t xml:space="preserve"> </w:t>
      </w:r>
      <w:r>
        <w:t xml:space="preserve">are collaborating on generation strategies, including hybrid projects that use co-located power [12].</w:t>
      </w:r>
    </w:p>
    <w:p>
      <w:pPr>
        <w:pStyle w:val="BodyText"/>
      </w:pPr>
      <w:r>
        <w:t xml:space="preserve">Jensen Huang framed the bigger arc in efficiency terms, saying NVIDIA is pushing extreme co-design to improve</w:t>
      </w:r>
      <w:r>
        <w:t xml:space="preserve"> </w:t>
      </w:r>
      <w:r>
        <w:rPr>
          <w:bCs/>
          <w:b/>
        </w:rPr>
        <w:t xml:space="preserve">tokens per second per watt</w:t>
      </w:r>
      <w:r>
        <w:t xml:space="preserve"> </w:t>
      </w:r>
      <w:r>
        <w:t xml:space="preserve">by orders of magnitude each year; the blog says tokens generated within the same power budget have increased by</w:t>
      </w:r>
      <w:r>
        <w:t xml:space="preserve"> </w:t>
      </w:r>
      <w:r>
        <w:rPr>
          <w:bCs/>
          <w:b/>
        </w:rPr>
        <w:t xml:space="preserve">more than 1 million times</w:t>
      </w:r>
      <w:r>
        <w:t xml:space="preserve"> </w:t>
      </w:r>
      <w:r>
        <w:t xml:space="preserve">from Kepler in 2012 to Vera Rubin this year [12].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Power planning is moving from background constraint to part of AI system design itself [12].</w:t>
      </w:r>
    </w:p>
    <w:bookmarkEnd w:id="23"/>
    <w:bookmarkStart w:id="24" w:name="Xb8ba42089f50d2d366742a1437c845630d37057"/>
    <w:p>
      <w:pPr>
        <w:pStyle w:val="Heading3"/>
      </w:pPr>
      <w:r>
        <w:t xml:space="preserve">Governance signals continued to favor coordination over fragmentation</w:t>
      </w:r>
    </w:p>
    <w:p>
      <w:pPr>
        <w:pStyle w:val="FirstParagraph"/>
      </w:pPr>
      <w:r>
        <w:t xml:space="preserve">Anthropic said it signed an</w:t>
      </w:r>
      <w:r>
        <w:t xml:space="preserve"> </w:t>
      </w:r>
      <w:r>
        <w:rPr>
          <w:bCs/>
          <w:b/>
        </w:rPr>
        <w:t xml:space="preserve">MOU</w:t>
      </w:r>
      <w:r>
        <w:t xml:space="preserve"> </w:t>
      </w:r>
      <w:r>
        <w:t xml:space="preserve">with the</w:t>
      </w:r>
      <w:r>
        <w:t xml:space="preserve"> </w:t>
      </w:r>
      <w:r>
        <w:rPr>
          <w:bCs/>
          <w:b/>
        </w:rPr>
        <w:t xml:space="preserve">Australian Government</w:t>
      </w:r>
      <w:r>
        <w:t xml:space="preserve"> </w:t>
      </w:r>
      <w:r>
        <w:t xml:space="preserve">to collaborate on</w:t>
      </w:r>
      <w:r>
        <w:t xml:space="preserve"> </w:t>
      </w:r>
      <w:r>
        <w:rPr>
          <w:bCs/>
          <w:b/>
        </w:rPr>
        <w:t xml:space="preserve">AI safety research</w:t>
      </w:r>
      <w:r>
        <w:t xml:space="preserve"> </w:t>
      </w:r>
      <w:r>
        <w:t xml:space="preserve">and support</w:t>
      </w:r>
      <w:r>
        <w:t xml:space="preserve"> </w:t>
      </w:r>
      <w:r>
        <w:rPr>
          <w:bCs/>
          <w:b/>
        </w:rPr>
        <w:t xml:space="preserve">Australia’s National AI Plan</w:t>
      </w:r>
      <w:r>
        <w:t xml:space="preserve"> </w:t>
      </w:r>
      <w:r>
        <w:t xml:space="preserve">[13]. In the U.S., Andrew Ng said he supports the White House’s proposed national legislative framework for AI, especially its</w:t>
      </w:r>
      <w:r>
        <w:t xml:space="preserve"> </w:t>
      </w:r>
      <w:r>
        <w:rPr>
          <w:bCs/>
          <w:b/>
        </w:rPr>
        <w:t xml:space="preserve">federal preemption</w:t>
      </w:r>
      <w:r>
        <w:t xml:space="preserve"> </w:t>
      </w:r>
      <w:r>
        <w:t xml:space="preserve">mechanism to prevent a patchwork of state rules that could limit AI development while still preserving state authority over zoning, consumer protection, and their own use of AI [14].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common thread is a push toward more coordinated national approaches, even if the U.S. framework remains a proposal for now [14].</w:t>
      </w:r>
    </w:p>
    <w:p>
      <w:r>
        <w:pict>
          <v:rect style="width:0;height:1.5pt" o:hralign="center" o:hrstd="t" o:hr="t"/>
        </w:pict>
      </w:r>
    </w:p>
    <w:bookmarkEnd w:id="24"/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@feross</w:t>
        </w:r>
      </w:hyperlink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@AhmadNassri</w:t>
        </w:r>
      </w:hyperlink>
    </w:p>
    <w:p>
      <w:pPr>
        <w:numPr>
          <w:ilvl w:val="0"/>
          <w:numId w:val="1001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@ScottWu46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@PrismML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@osanseviero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Efficiency at Scale: NVIDIA, Energy Leaders Accelerating Power‑Flexible AI Factories to Fortify the Grid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@AndrewYNg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s://blogs.nvidia.com/blog/energy-efficiency-ai-factories-grid" TargetMode="External" /><Relationship Type="http://schemas.openxmlformats.org/officeDocument/2006/relationships/hyperlink" Id="rId26" Target="https://x.com/AhmadNassri/status/2038945852216013311" TargetMode="External" /><Relationship Type="http://schemas.openxmlformats.org/officeDocument/2006/relationships/hyperlink" Id="rId38" Target="https://x.com/AndrewYNg/status/2039051446084153834" TargetMode="External" /><Relationship Type="http://schemas.openxmlformats.org/officeDocument/2006/relationships/hyperlink" Id="rId37" Target="https://x.com/AnthropicAI/status/2039137425214353555" TargetMode="External" /><Relationship Type="http://schemas.openxmlformats.org/officeDocument/2006/relationships/hyperlink" Id="rId34" Target="https://x.com/ClementDelangue/status/2037231932216693005" TargetMode="External" /><Relationship Type="http://schemas.openxmlformats.org/officeDocument/2006/relationships/hyperlink" Id="rId33" Target="https://x.com/ClementDelangue/status/2039121367656702102" TargetMode="External" /><Relationship Type="http://schemas.openxmlformats.org/officeDocument/2006/relationships/hyperlink" Id="rId31" Target="https://x.com/OpenAI/status/2039085161971896807" TargetMode="External" /><Relationship Type="http://schemas.openxmlformats.org/officeDocument/2006/relationships/hyperlink" Id="rId32" Target="https://x.com/PrismML/status/2039049400190939426" TargetMode="External" /><Relationship Type="http://schemas.openxmlformats.org/officeDocument/2006/relationships/hyperlink" Id="rId28" Target="https://x.com/ScottWu46/status/2038865428693332094" TargetMode="External" /><Relationship Type="http://schemas.openxmlformats.org/officeDocument/2006/relationships/hyperlink" Id="rId25" Target="https://x.com/feross/status/2038807290422370479" TargetMode="External" /><Relationship Type="http://schemas.openxmlformats.org/officeDocument/2006/relationships/hyperlink" Id="rId35" Target="https://x.com/osanseviero/status/2039120000095547722" TargetMode="External" /><Relationship Type="http://schemas.openxmlformats.org/officeDocument/2006/relationships/hyperlink" Id="rId30" Target="https://x.com/saranormous/status/2039108234460721341" TargetMode="External" /><Relationship Type="http://schemas.openxmlformats.org/officeDocument/2006/relationships/hyperlink" Id="rId29" Target="https://x.com/saranormous/status/2039172685666918672" TargetMode="External" /><Relationship Type="http://schemas.openxmlformats.org/officeDocument/2006/relationships/hyperlink" Id="rId27" Target="https://x.com/swyx/status/20389034702129688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blogs.nvidia.com/blog/energy-efficiency-ai-factories-grid" TargetMode="External" /><Relationship Type="http://schemas.openxmlformats.org/officeDocument/2006/relationships/hyperlink" Id="rId26" Target="https://x.com/AhmadNassri/status/2038945852216013311" TargetMode="External" /><Relationship Type="http://schemas.openxmlformats.org/officeDocument/2006/relationships/hyperlink" Id="rId38" Target="https://x.com/AndrewYNg/status/2039051446084153834" TargetMode="External" /><Relationship Type="http://schemas.openxmlformats.org/officeDocument/2006/relationships/hyperlink" Id="rId37" Target="https://x.com/AnthropicAI/status/2039137425214353555" TargetMode="External" /><Relationship Type="http://schemas.openxmlformats.org/officeDocument/2006/relationships/hyperlink" Id="rId34" Target="https://x.com/ClementDelangue/status/2037231932216693005" TargetMode="External" /><Relationship Type="http://schemas.openxmlformats.org/officeDocument/2006/relationships/hyperlink" Id="rId33" Target="https://x.com/ClementDelangue/status/2039121367656702102" TargetMode="External" /><Relationship Type="http://schemas.openxmlformats.org/officeDocument/2006/relationships/hyperlink" Id="rId31" Target="https://x.com/OpenAI/status/2039085161971896807" TargetMode="External" /><Relationship Type="http://schemas.openxmlformats.org/officeDocument/2006/relationships/hyperlink" Id="rId32" Target="https://x.com/PrismML/status/2039049400190939426" TargetMode="External" /><Relationship Type="http://schemas.openxmlformats.org/officeDocument/2006/relationships/hyperlink" Id="rId28" Target="https://x.com/ScottWu46/status/2038865428693332094" TargetMode="External" /><Relationship Type="http://schemas.openxmlformats.org/officeDocument/2006/relationships/hyperlink" Id="rId25" Target="https://x.com/feross/status/2038807290422370479" TargetMode="External" /><Relationship Type="http://schemas.openxmlformats.org/officeDocument/2006/relationships/hyperlink" Id="rId35" Target="https://x.com/osanseviero/status/2039120000095547722" TargetMode="External" /><Relationship Type="http://schemas.openxmlformats.org/officeDocument/2006/relationships/hyperlink" Id="rId30" Target="https://x.com/saranormous/status/2039108234460721341" TargetMode="External" /><Relationship Type="http://schemas.openxmlformats.org/officeDocument/2006/relationships/hyperlink" Id="rId29" Target="https://x.com/saranormous/status/2039172685666918672" TargetMode="External" /><Relationship Type="http://schemas.openxmlformats.org/officeDocument/2006/relationships/hyperlink" Id="rId27" Target="https://x.com/swyx/status/20389034702129688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Strains the AI Stack as OpenAI Closes $122B Round</dc:title>
  <dc:creator>AI News Digest</dc:creator>
  <cp:keywords/>
  <dcterms:created xsi:type="dcterms:W3CDTF">2026-04-01T10:44:29Z</dcterms:created>
  <dcterms:modified xsi:type="dcterms:W3CDTF">2026-04-01T10:44:29Z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2026-04-01</vt:lpwstr>
  </property>
</Properties>
</file>