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Self-help sobriety, database fundamentals, and AI-era signal vs. noise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2026-03-06</w:t>
      </w:r>
    </w:p>
    <w:bookmarkStart w:id="93" w:name="Xee49762dd8e9c0f90f97c3be43da35b771a5329"/>
    <w:p>
      <w:pPr>
        <w:pStyle w:val="Heading1"/>
      </w:pPr>
      <w:r>
        <w:t xml:space="preserve">Self-help sobriety, database fundamentals, and AI-era signal vs. noise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6, 2026</w:t>
      </w:r>
    </w:p>
    <w:p>
      <w:pPr>
        <w:pStyle w:val="BodyText"/>
      </w:pPr>
      <w:r>
        <w:t xml:space="preserve">Today’s highest-signal picks include Shaan Puri’s standout endorsement of Tim Ferriss on the</w:t>
      </w:r>
      <w:r>
        <w:t xml:space="preserve"> </w:t>
      </w:r>
      <w:r>
        <w:t xml:space="preserve">“</w:t>
      </w:r>
      <w:r>
        <w:t xml:space="preserve">self-help trap,</w:t>
      </w:r>
      <w:r>
        <w:t xml:space="preserve">”</w:t>
      </w:r>
      <w:r>
        <w:t xml:space="preserve"> </w:t>
      </w:r>
      <w:r>
        <w:t xml:space="preserve">Martin Casado’s pointer to a practical database fundamentals video, and Packy McCormick’s curated reading on AI’s impact on hiring and software production—plus two history/strategy recommendations about control, institutions, and high-stakes decision-making.</w:t>
      </w:r>
    </w:p>
    <w:bookmarkStart w:id="29" w:name="Xfc130ab0165575b41fc212ee2ae1c8eaf7ad0ca"/>
    <w:p>
      <w:pPr>
        <w:pStyle w:val="Heading2"/>
      </w:pPr>
      <w:r>
        <w:t xml:space="preserve">Most compelling recommendation: a check on</w:t>
      </w:r>
      <w:r>
        <w:t xml:space="preserve"> </w:t>
      </w:r>
      <w:r>
        <w:t xml:space="preserve">“</w:t>
      </w:r>
      <w:r>
        <w:t xml:space="preserve">improvement</w:t>
      </w:r>
      <w:r>
        <w:t xml:space="preserve">”</w:t>
      </w:r>
      <w:r>
        <w:t xml:space="preserve"> </w:t>
      </w:r>
      <w:r>
        <w:t xml:space="preserve">becoming its own addiction</w:t>
      </w:r>
    </w:p>
    <w:bookmarkStart w:id="28" w:name="X59dcda05ad21203373f05c912b2d2b765630127"/>
    <w:p>
      <w:pPr>
        <w:pStyle w:val="Heading3"/>
      </w:pPr>
      <w:r>
        <w:rPr>
          <w:iCs/>
          <w:i/>
        </w:rPr>
        <w:t xml:space="preserve">The Self-Help Trap: What 20+ Years of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Optimizing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Has Taught Me</w:t>
      </w:r>
      <w:r>
        <w:t xml:space="preserve"> </w:t>
      </w:r>
      <w:r>
        <w:t xml:space="preserve">— Tim Ferriss (blog post)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Type:</w:t>
      </w:r>
      <w:r>
        <w:t xml:space="preserve"> </w:t>
      </w:r>
      <w:r>
        <w:t xml:space="preserve">Blog post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Tim Ferriss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https://x.com/tferriss/status/2029283224866770944</w:t>
      </w:r>
      <w:r>
        <w:t xml:space="preserve"> </w:t>
      </w:r>
      <w:r>
        <w:rPr>
          <w:rStyle w:val="FootnoteReference"/>
        </w:rPr>
        <w:footnoteReference w:id="23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Shaan Puri (</w:t>
      </w:r>
      <w:r>
        <w:t xml:space="preserve">@ShaanVP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Shaan connects Ferriss’ point to seeing people at a Tony Robbins event who, after attending 3+ times, seemed to get</w:t>
      </w:r>
      <w:r>
        <w:t xml:space="preserve"> </w:t>
      </w:r>
      <w:r>
        <w:t xml:space="preserve">“</w:t>
      </w:r>
      <w:r>
        <w:t xml:space="preserve">addicted to the medicine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It’s a rare, high-conviction endorsement (</w:t>
      </w:r>
      <w:r>
        <w:t xml:space="preserve">“</w:t>
      </w:r>
      <w:r>
        <w:t xml:space="preserve">my favorite thing Tim has written in 10+ years</w:t>
      </w:r>
      <w:r>
        <w:t xml:space="preserve">”</w:t>
      </w:r>
      <w:r>
        <w:t xml:space="preserve">) aimed directly at</w:t>
      </w:r>
      <w:r>
        <w:t xml:space="preserve"> </w:t>
      </w:r>
      <w:r>
        <w:t xml:space="preserve">“</w:t>
      </w:r>
      <w:r>
        <w:t xml:space="preserve">fellow self improvers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—useful if you’re trying to ensure learning and self-improvement translate into changed behavior (not just repeated consumption).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40" w:name="Xe5353b6585b2c86c373b044d0a62ec775bfc530"/>
    <w:p>
      <w:pPr>
        <w:pStyle w:val="Heading2"/>
      </w:pPr>
      <w:r>
        <w:t xml:space="preserve">Engineering fundamentals worth (re)loading into your brain</w:t>
      </w:r>
    </w:p>
    <w:bookmarkStart w:id="39" w:name="X6d58ad0cb9f8f10877f0c044e49dac80ad23554"/>
    <w:p>
      <w:pPr>
        <w:pStyle w:val="Heading3"/>
      </w:pPr>
      <w:r>
        <w:t xml:space="preserve">Video on database consistency + concurrency tradeoffs —</w:t>
      </w:r>
      <w:r>
        <w:t xml:space="preserve"> </w:t>
      </w:r>
      <w:r>
        <w:t xml:space="preserve">@jamwt</w:t>
      </w:r>
      <w:r>
        <w:t xml:space="preserve"> </w:t>
      </w:r>
      <w:r>
        <w:t xml:space="preserve">(video)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Type:</w:t>
      </w:r>
      <w:r>
        <w:t xml:space="preserve"> </w:t>
      </w:r>
      <w:r>
        <w:t xml:space="preserve">Video (posted on X)</w:t>
      </w:r>
      <w:r>
        <w:t xml:space="preserve"> </w:t>
      </w:r>
      <w:r>
        <w:rPr>
          <w:rStyle w:val="FootnoteReference"/>
        </w:rPr>
        <w:footnoteReference w:id="30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@jamwt</w:t>
      </w:r>
      <w:r>
        <w:t xml:space="preserve"> </w:t>
      </w:r>
      <w:r>
        <w:rPr>
          <w:rStyle w:val="FootnoteReference"/>
        </w:rPr>
        <w:footnoteReference w:id="32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https://x.com/jamwt/status/2029353984792961278</w:t>
      </w:r>
      <w:r>
        <w:t xml:space="preserve"> </w:t>
      </w:r>
      <w:r>
        <w:rPr>
          <w:rStyle w:val="FootnoteReference"/>
        </w:rPr>
        <w:footnoteReference w:id="33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Martin Casado (</w:t>
      </w:r>
      <w:r>
        <w:t xml:space="preserve">@martin_casado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35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fantastic overview</w:t>
      </w:r>
      <w:r>
        <w:t xml:space="preserve">”</w:t>
      </w:r>
      <w:r>
        <w:t xml:space="preserve"> </w:t>
      </w:r>
      <w:r>
        <w:t xml:space="preserve">demystifying database</w:t>
      </w:r>
      <w:r>
        <w:t xml:space="preserve"> </w:t>
      </w:r>
      <w:r>
        <w:rPr>
          <w:bCs/>
          <w:b/>
        </w:rPr>
        <w:t xml:space="preserve">consistency, isolation levels, record contention</w:t>
      </w:r>
      <w:r>
        <w:t xml:space="preserve">, and</w:t>
      </w:r>
      <w:r>
        <w:t xml:space="preserve"> </w:t>
      </w:r>
      <w:r>
        <w:rPr>
          <w:bCs/>
          <w:b/>
        </w:rPr>
        <w:t xml:space="preserve">pessimistic vs. optimistic concurrency control tradeoffs</w:t>
      </w:r>
      <w:r>
        <w:t xml:space="preserve"> </w:t>
      </w:r>
      <w:r>
        <w:rPr>
          <w:rStyle w:val="FootnoteReference"/>
        </w:rPr>
        <w:footnoteReference w:id="36"/>
      </w:r>
      <w:r>
        <w:rPr>
          <w:rStyle w:val="FootnoteReference"/>
        </w:rPr>
        <w:footnoteReference w:id="37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Casado frames these as</w:t>
      </w:r>
      <w:r>
        <w:t xml:space="preserve"> </w:t>
      </w:r>
      <w:r>
        <w:t xml:space="preserve">“</w:t>
      </w:r>
      <w:r>
        <w:t xml:space="preserve">super important concepts</w:t>
      </w:r>
      <w:r>
        <w:t xml:space="preserve">”</w:t>
      </w:r>
      <w:r>
        <w:t xml:space="preserve"> </w:t>
      </w:r>
      <w:r>
        <w:t xml:space="preserve">if you’re</w:t>
      </w:r>
      <w:r>
        <w:t xml:space="preserve"> </w:t>
      </w:r>
      <w:r>
        <w:t xml:space="preserve">“</w:t>
      </w:r>
      <w:r>
        <w:t xml:space="preserve">building production systems,</w:t>
      </w:r>
      <w:r>
        <w:t xml:space="preserve">”</w:t>
      </w:r>
      <w:r>
        <w:t xml:space="preserve"> </w:t>
      </w:r>
      <w:r>
        <w:t xml:space="preserve">and suggests that as AI reduces the need to</w:t>
      </w:r>
      <w:r>
        <w:t xml:space="preserve"> </w:t>
      </w:r>
      <w:r>
        <w:t xml:space="preserve">“</w:t>
      </w:r>
      <w:r>
        <w:t xml:space="preserve">memorize random framework nonsense,</w:t>
      </w:r>
      <w:r>
        <w:t xml:space="preserve">”</w:t>
      </w:r>
      <w:r>
        <w:t xml:space="preserve"> </w:t>
      </w:r>
      <w:r>
        <w:t xml:space="preserve">this is the kind of broadly useful material to replace it with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64" w:name="X1c44e648445ef25b235739d5e61687cef0d8fa2"/>
    <w:p>
      <w:pPr>
        <w:pStyle w:val="Heading2"/>
      </w:pPr>
      <w:r>
        <w:t xml:space="preserve">AI is changing workflows (and the signal-to-noise ratio)</w:t>
      </w:r>
    </w:p>
    <w:bookmarkStart w:id="49" w:name="Xfa2ea80c5993053a05e7c1c8c7555a4e191df83"/>
    <w:p>
      <w:pPr>
        <w:pStyle w:val="Heading3"/>
      </w:pPr>
      <w:r>
        <w:rPr>
          <w:iCs/>
          <w:i/>
        </w:rPr>
        <w:t xml:space="preserve">The Tinder-ization of the Job Market</w:t>
      </w:r>
      <w:r>
        <w:t xml:space="preserve"> </w:t>
      </w:r>
      <w:r>
        <w:t xml:space="preserve">— Matt Darling (essay)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Type:</w:t>
      </w:r>
      <w:r>
        <w:t xml:space="preserve"> </w:t>
      </w:r>
      <w:r>
        <w:t xml:space="preserve">Article/essay</w:t>
      </w:r>
      <w:r>
        <w:t xml:space="preserve"> </w:t>
      </w:r>
      <w:r>
        <w:rPr>
          <w:rStyle w:val="FootnoteReference"/>
        </w:rPr>
        <w:footnoteReference w:id="41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Matt Darling (The Argument)</w:t>
      </w:r>
      <w:r>
        <w:t xml:space="preserve"> </w:t>
      </w:r>
      <w:r>
        <w:rPr>
          <w:rStyle w:val="FootnoteReference"/>
        </w:rPr>
        <w:footnoteReference w:id="43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https://www.theargumentmag.com/p/the-tinder-ization-of-the-job-market</w:t>
      </w:r>
      <w:r>
        <w:t xml:space="preserve"> </w:t>
      </w:r>
      <w:r>
        <w:rPr>
          <w:rStyle w:val="FootnoteReference"/>
        </w:rPr>
        <w:footnoteReference w:id="44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Packy McCormick (Not Boring)</w:t>
      </w:r>
      <w:r>
        <w:t xml:space="preserve"> </w:t>
      </w:r>
      <w:r>
        <w:rPr>
          <w:rStyle w:val="FootnoteReference"/>
        </w:rPr>
        <w:footnoteReference w:id="45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 (as highlighted):</w:t>
      </w:r>
      <w:r>
        <w:t xml:space="preserve"> </w:t>
      </w:r>
      <w:r>
        <w:t xml:space="preserve">The argument presented is that the job market is</w:t>
      </w:r>
      <w:r>
        <w:t xml:space="preserve"> </w:t>
      </w:r>
      <w:r>
        <w:t xml:space="preserve">“</w:t>
      </w:r>
      <w:r>
        <w:t xml:space="preserve">stuck</w:t>
      </w:r>
      <w:r>
        <w:t xml:space="preserve">”</w:t>
      </w:r>
      <w:r>
        <w:t xml:space="preserve"> </w:t>
      </w:r>
      <w:r>
        <w:t xml:space="preserve">(e.g., hiring rate averaged</w:t>
      </w:r>
      <w:r>
        <w:t xml:space="preserve"> </w:t>
      </w:r>
      <w:r>
        <w:rPr>
          <w:bCs/>
          <w:b/>
        </w:rPr>
        <w:t xml:space="preserve">3.3% in H2 2025</w:t>
      </w:r>
      <w:r>
        <w:t xml:space="preserve">) even while unemployment was</w:t>
      </w:r>
      <w:r>
        <w:t xml:space="preserve"> </w:t>
      </w:r>
      <w:r>
        <w:rPr>
          <w:bCs/>
          <w:b/>
        </w:rPr>
        <w:t xml:space="preserve">4.3%</w:t>
      </w:r>
      <w:r>
        <w:t xml:space="preserve"> </w:t>
      </w:r>
      <w:r>
        <w:t xml:space="preserve">in January and prime-age (25–54) employment was</w:t>
      </w:r>
      <w:r>
        <w:t xml:space="preserve"> </w:t>
      </w:r>
      <w:r>
        <w:rPr>
          <w:bCs/>
          <w:b/>
        </w:rPr>
        <w:t xml:space="preserve">80.9%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 One proposed mechanism: LLMs make it easier to apply to many jobs, increasing volume while weakening traditional signals (e.g., recruiting workload rose</w:t>
      </w:r>
      <w:r>
        <w:t xml:space="preserve"> </w:t>
      </w:r>
      <w:r>
        <w:rPr>
          <w:bCs/>
          <w:b/>
        </w:rPr>
        <w:t xml:space="preserve">26%</w:t>
      </w:r>
      <w:r>
        <w:t xml:space="preserve"> </w:t>
      </w:r>
      <w:r>
        <w:t xml:space="preserve">in Q3 2024;</w:t>
      </w:r>
      <w:r>
        <w:t xml:space="preserve"> </w:t>
      </w:r>
      <w:r>
        <w:rPr>
          <w:bCs/>
          <w:b/>
        </w:rPr>
        <w:t xml:space="preserve">38%</w:t>
      </w:r>
      <w:r>
        <w:t xml:space="preserve"> </w:t>
      </w:r>
      <w:r>
        <w:t xml:space="preserve">of job seekers reported</w:t>
      </w:r>
      <w:r>
        <w:t xml:space="preserve"> </w:t>
      </w:r>
      <w:r>
        <w:t xml:space="preserve">“</w:t>
      </w:r>
      <w:r>
        <w:t xml:space="preserve">mass applying</w:t>
      </w:r>
      <w:r>
        <w:t xml:space="preserve">”</w:t>
      </w:r>
      <w:r>
        <w:t xml:space="preserve">; an applications-to-recruiter ratio</w:t>
      </w:r>
      <w:r>
        <w:t xml:space="preserve"> </w:t>
      </w:r>
      <w:r>
        <w:t xml:space="preserve">“</w:t>
      </w:r>
      <w:r>
        <w:t xml:space="preserve">about</w:t>
      </w:r>
      <w:r>
        <w:t xml:space="preserve"> </w:t>
      </w:r>
      <w:r>
        <w:rPr>
          <w:bCs/>
          <w:b/>
        </w:rPr>
        <w:t xml:space="preserve">500–1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you hire, this is a concrete pointer to why screening may be breaking down under application flooding and AI-generated materials—and why process adjustments may be required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bookmarkEnd w:id="49"/>
    <w:bookmarkStart w:id="56" w:name="X3d1bb9f13962dde22362336d7728cf60bcd9c8e"/>
    <w:p>
      <w:pPr>
        <w:pStyle w:val="Heading3"/>
      </w:pPr>
      <w:r>
        <w:rPr>
          <w:iCs/>
          <w:i/>
        </w:rPr>
        <w:t xml:space="preserve">Claude Code Is The Inflection Point</w:t>
      </w:r>
      <w:r>
        <w:t xml:space="preserve"> </w:t>
      </w:r>
      <w:r>
        <w:t xml:space="preserve">— SemiAnalysis (newsletter post)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Type:</w:t>
      </w:r>
      <w:r>
        <w:t xml:space="preserve"> </w:t>
      </w:r>
      <w:r>
        <w:t xml:space="preserve">Newsletter post</w:t>
      </w:r>
      <w:r>
        <w:t xml:space="preserve"> </w:t>
      </w:r>
      <w:r>
        <w:rPr>
          <w:rStyle w:val="FootnoteReference"/>
        </w:rPr>
        <w:footnoteReference w:id="50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SemiAnalysis</w:t>
      </w:r>
      <w:r>
        <w:t xml:space="preserve"> </w:t>
      </w:r>
      <w:r>
        <w:rPr>
          <w:rStyle w:val="FootnoteReference"/>
        </w:rPr>
        <w:footnoteReference w:id="51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https://newsletter.semianalysis.com/p/claude-code-is-the-inflection-point</w:t>
      </w:r>
      <w:r>
        <w:t xml:space="preserve"> </w:t>
      </w:r>
      <w:r>
        <w:rPr>
          <w:rStyle w:val="FootnoteReference"/>
        </w:rPr>
        <w:footnoteReference w:id="52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Packy McCormick (Not Boring)</w:t>
      </w:r>
      <w:r>
        <w:t xml:space="preserve"> </w:t>
      </w:r>
      <w:r>
        <w:rPr>
          <w:rStyle w:val="FootnoteReference"/>
        </w:rPr>
        <w:footnoteReference w:id="53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 (as quoted):</w:t>
      </w:r>
      <w:r>
        <w:t xml:space="preserve"> </w:t>
      </w:r>
      <w:r>
        <w:t xml:space="preserve">“</w:t>
      </w:r>
      <w:r>
        <w:t xml:space="preserve">4% of GitHub public commits are being authored by Claude Code right now,</w:t>
      </w:r>
      <w:r>
        <w:t xml:space="preserve">”</w:t>
      </w:r>
      <w:r>
        <w:t xml:space="preserve"> </w:t>
      </w:r>
      <w:r>
        <w:t xml:space="preserve">with a projection that it could reach</w:t>
      </w:r>
      <w:r>
        <w:t xml:space="preserve"> </w:t>
      </w:r>
      <w:r>
        <w:t xml:space="preserve">“</w:t>
      </w:r>
      <w:r>
        <w:t xml:space="preserve">20%+ of all daily commits by the end of 2026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It’s a specific metric + trajectory claim that can recalibrate how quickly you expect AI-assisted coding to show up in day-to-day software production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bookmarkEnd w:id="56"/>
    <w:bookmarkStart w:id="63" w:name="tool-shaped-objects-minutes-essay"/>
    <w:p>
      <w:pPr>
        <w:pStyle w:val="Heading3"/>
      </w:pPr>
      <w:r>
        <w:rPr>
          <w:iCs/>
          <w:i/>
        </w:rPr>
        <w:t xml:space="preserve">Tool Shaped Objects</w:t>
      </w:r>
      <w:r>
        <w:t xml:space="preserve"> </w:t>
      </w:r>
      <w:r>
        <w:t xml:space="preserve">— Minutes (essay)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Type:</w:t>
      </w:r>
      <w:r>
        <w:t xml:space="preserve"> </w:t>
      </w:r>
      <w:r>
        <w:t xml:space="preserve">Article/essay</w:t>
      </w:r>
      <w:r>
        <w:t xml:space="preserve"> </w:t>
      </w:r>
      <w:r>
        <w:rPr>
          <w:rStyle w:val="FootnoteReference"/>
        </w:rPr>
        <w:footnoteReference w:id="57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Minutes (publication)</w:t>
      </w:r>
      <w:r>
        <w:t xml:space="preserve"> </w:t>
      </w:r>
      <w:r>
        <w:rPr>
          <w:rStyle w:val="FootnoteReference"/>
        </w:rPr>
        <w:footnoteReference w:id="58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https://minutes.substack.com/p/tool-shaped-objects</w:t>
      </w:r>
      <w:r>
        <w:t xml:space="preserve"> </w:t>
      </w:r>
      <w:r>
        <w:rPr>
          <w:rStyle w:val="FootnoteReference"/>
        </w:rPr>
        <w:footnoteReference w:id="59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Packy McCormick (Not Boring)</w:t>
      </w:r>
      <w:r>
        <w:t xml:space="preserve"> </w:t>
      </w:r>
      <w:r>
        <w:rPr>
          <w:rStyle w:val="FootnoteReference"/>
        </w:rPr>
        <w:footnoteReference w:id="60"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 (quote highlighted in Not Boring):</w:t>
      </w:r>
    </w:p>
    <w:p>
      <w:pPr>
        <w:pStyle w:val="BlockText"/>
      </w:pPr>
      <w:r>
        <w:t xml:space="preserve">“</w:t>
      </w:r>
      <w:r>
        <w:t xml:space="preserve">The market for feeling productive is orders of magnitude larger than the market for being productive.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1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compact framing for evaluating tools, dashboards, and workflows that optimize for</w:t>
      </w:r>
      <w:r>
        <w:t xml:space="preserve"> </w:t>
      </w:r>
      <w:r>
        <w:rPr>
          <w:iCs/>
          <w:i/>
        </w:rPr>
        <w:t xml:space="preserve">the appearance</w:t>
      </w:r>
      <w:r>
        <w:t xml:space="preserve"> </w:t>
      </w:r>
      <w:r>
        <w:t xml:space="preserve">of progress rather than actual outcomes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92" w:name="X91b98dd1d3e338e39fcc602af3102ebad292dfb"/>
    <w:p>
      <w:pPr>
        <w:pStyle w:val="Heading2"/>
      </w:pPr>
      <w:r>
        <w:t xml:space="preserve">Strategy + history: control, institutions, and who makes the call</w:t>
      </w:r>
    </w:p>
    <w:bookmarkStart w:id="71" w:name="X6296f835182fc6c301e5ddb34898bcf2b4755d8"/>
    <w:p>
      <w:pPr>
        <w:pStyle w:val="Heading3"/>
      </w:pPr>
      <w:r>
        <w:rPr>
          <w:iCs/>
          <w:i/>
        </w:rPr>
        <w:t xml:space="preserve">The Control Revolution</w:t>
      </w:r>
      <w:r>
        <w:t xml:space="preserve"> </w:t>
      </w:r>
      <w:r>
        <w:t xml:space="preserve">— James R. Beniger (book)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Type:</w:t>
      </w:r>
      <w:r>
        <w:t xml:space="preserve"> </w:t>
      </w:r>
      <w:r>
        <w:t xml:space="preserve">Book</w:t>
      </w:r>
      <w:r>
        <w:t xml:space="preserve"> </w:t>
      </w:r>
      <w:r>
        <w:rPr>
          <w:rStyle w:val="FootnoteReference"/>
        </w:rPr>
        <w:footnoteReference w:id="65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James R. Beniger</w:t>
      </w:r>
      <w:r>
        <w:t xml:space="preserve"> </w:t>
      </w:r>
      <w:r>
        <w:rPr>
          <w:rStyle w:val="FootnoteReference"/>
        </w:rPr>
        <w:footnoteReference w:id="66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https://www.amazon.com/Control-Revolution-Technological-Economic-Information/dp/0674169867</w:t>
      </w:r>
      <w:r>
        <w:t xml:space="preserve"> </w:t>
      </w:r>
      <w:r>
        <w:rPr>
          <w:rStyle w:val="FootnoteReference"/>
        </w:rPr>
        <w:footnoteReference w:id="67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Packy McCormick (Not Boring)</w:t>
      </w:r>
      <w:r>
        <w:t xml:space="preserve"> </w:t>
      </w:r>
      <w:r>
        <w:rPr>
          <w:rStyle w:val="FootnoteReference"/>
        </w:rPr>
        <w:footnoteReference w:id="68"/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Packy says he’s only started it, but flags Beniger’s idea that modern information technology emerged as a response to industrial scale and complexity—an industrial-era</w:t>
      </w:r>
      <w:r>
        <w:t xml:space="preserve"> </w:t>
      </w:r>
      <w:r>
        <w:t xml:space="preserve">“</w:t>
      </w:r>
      <w:r>
        <w:t xml:space="preserve">crisis of control</w:t>
      </w:r>
      <w:r>
        <w:t xml:space="preserve">”</w:t>
      </w:r>
      <w:r>
        <w:t xml:space="preserve"> </w:t>
      </w:r>
      <w:r>
        <w:t xml:space="preserve">where information/communication innovations lagged behind energy and manufacturing advances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It’s a lens for thinking about why information systems and coordination mechanisms proliferate when production and complexity accelerate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bookmarkEnd w:id="71"/>
    <w:bookmarkStart w:id="83" w:name="X57bd80c7ce77ea22b6e5d09784676dcb669caae"/>
    <w:p>
      <w:pPr>
        <w:pStyle w:val="Heading3"/>
      </w:pPr>
      <w:r>
        <w:rPr>
          <w:iCs/>
          <w:i/>
        </w:rPr>
        <w:t xml:space="preserve">The Making of the Atomic Bomb</w:t>
      </w:r>
      <w:r>
        <w:t xml:space="preserve"> </w:t>
      </w:r>
      <w:r>
        <w:t xml:space="preserve">— Richard Rhodes (book)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Type:</w:t>
      </w:r>
      <w:r>
        <w:t xml:space="preserve"> </w:t>
      </w:r>
      <w:r>
        <w:t xml:space="preserve">Book</w:t>
      </w:r>
      <w:r>
        <w:t xml:space="preserve"> </w:t>
      </w:r>
      <w:r>
        <w:rPr>
          <w:rStyle w:val="FootnoteReference"/>
        </w:rPr>
        <w:footnoteReference w:id="72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Richard Rhodes</w:t>
      </w:r>
      <w:r>
        <w:t xml:space="preserve"> </w:t>
      </w:r>
      <w:r>
        <w:rPr>
          <w:rStyle w:val="FootnoteReference"/>
        </w:rPr>
        <w:footnoteReference w:id="74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in-source</w:t>
      </w:r>
      <w:r>
        <w:t xml:space="preserve"> </w:t>
      </w:r>
      <w:r>
        <w:rPr>
          <w:rStyle w:val="FootnoteReference"/>
        </w:rPr>
        <w:footnoteReference w:id="75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Rory (20VC panel)</w:t>
      </w:r>
      <w:r>
        <w:t xml:space="preserve"> </w:t>
      </w:r>
      <w:r>
        <w:rPr>
          <w:rStyle w:val="FootnoteReference"/>
        </w:rPr>
        <w:footnoteReference w:id="76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Rory describes a lesson from reading it: military leadership</w:t>
      </w:r>
      <w:r>
        <w:t xml:space="preserve"> </w:t>
      </w:r>
      <w:r>
        <w:t xml:space="preserve">“</w:t>
      </w:r>
      <w:r>
        <w:t xml:space="preserve">didn’t give a rat’s ass about the scientists</w:t>
      </w:r>
      <w:r>
        <w:t xml:space="preserve">”</w:t>
      </w:r>
      <w:r>
        <w:t xml:space="preserve"> </w:t>
      </w:r>
      <w:r>
        <w:t xml:space="preserve">and that expecting</w:t>
      </w:r>
      <w:r>
        <w:t xml:space="preserve"> </w:t>
      </w:r>
      <w:r>
        <w:t xml:space="preserve">“</w:t>
      </w:r>
      <w:r>
        <w:t xml:space="preserve">the luxury of getting to be part of the decision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unrealistic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grounded reminder about institutional power and decision rights—especially relevant when technical teams assume they’ll control downstream use of what they build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p>
      <w:pPr>
        <w:pStyle w:val="FirstParagraph"/>
      </w:pPr>
      <w:hyperlink r:id="rId82">
        <w:r>
          <w:drawing>
            <wp:inline>
              <wp:extent cx="5334000" cy="4000500"/>
              <wp:effectExtent b="0" l="0" r="0" t="0"/>
              <wp:docPr descr="Anthropic vs The Pentagon: Who Wins? | OpenAI’s $110BN Mega Round | Cursor Hits $2BN in ARR" title="" id="80" name="Picture"/>
              <a:graphic>
                <a:graphicData uri="http://schemas.openxmlformats.org/drawingml/2006/picture">
                  <pic:pic>
                    <pic:nvPicPr>
                      <pic:cNvPr descr="https://img.youtube.com/vi/7RHwE_M68BY/hqdefault.jpg" id="8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7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Anthropic vs The Pentagon: Who Wins? | OpenAI’s $110BN Mega Round | Cursor Hits $2BN in ARR (7:32)</w:t>
      </w:r>
    </w:p>
    <w:bookmarkEnd w:id="83"/>
    <w:bookmarkStart w:id="90" w:name="Xe7acf91eb5a601b19a89de16cb4a470a91036cd"/>
    <w:p>
      <w:pPr>
        <w:pStyle w:val="Heading3"/>
      </w:pPr>
      <w:r>
        <w:t xml:space="preserve">Owen (Intercom) on building Fin on top of an existing business (article/blog post)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Type:</w:t>
      </w:r>
      <w:r>
        <w:t xml:space="preserve"> </w:t>
      </w:r>
      <w:r>
        <w:t xml:space="preserve">Article/blog post (not linked in-source)</w:t>
      </w:r>
      <w:r>
        <w:t xml:space="preserve"> </w:t>
      </w:r>
      <w:r>
        <w:rPr>
          <w:rStyle w:val="FootnoteReference"/>
        </w:rPr>
        <w:footnoteReference w:id="84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Owen (Intercom)</w:t>
      </w:r>
      <w:r>
        <w:t xml:space="preserve"> </w:t>
      </w:r>
      <w:r>
        <w:rPr>
          <w:rStyle w:val="FootnoteReference"/>
        </w:rPr>
        <w:footnoteReference w:id="85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in-source</w:t>
      </w:r>
      <w:r>
        <w:t xml:space="preserve"> </w:t>
      </w:r>
      <w:r>
        <w:rPr>
          <w:rStyle w:val="FootnoteReference"/>
        </w:rPr>
        <w:footnoteReference w:id="86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Rory (20VC panel)</w:t>
      </w:r>
      <w:r>
        <w:t xml:space="preserve"> </w:t>
      </w:r>
      <w:r>
        <w:rPr>
          <w:rStyle w:val="FootnoteReference"/>
        </w:rPr>
        <w:footnoteReference w:id="87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Described as a</w:t>
      </w:r>
      <w:r>
        <w:t xml:space="preserve"> </w:t>
      </w:r>
      <w:r>
        <w:t xml:space="preserve">“</w:t>
      </w:r>
      <w:r>
        <w:t xml:space="preserve">really great piece</w:t>
      </w:r>
      <w:r>
        <w:t xml:space="preserve">”</w:t>
      </w:r>
      <w:r>
        <w:t xml:space="preserve"> </w:t>
      </w:r>
      <w:r>
        <w:t xml:space="preserve">about taking an existing business,</w:t>
      </w:r>
      <w:r>
        <w:t xml:space="preserve"> </w:t>
      </w:r>
      <w:r>
        <w:t xml:space="preserve">“</w:t>
      </w:r>
      <w:r>
        <w:t xml:space="preserve">gut[ting] it,</w:t>
      </w:r>
      <w:r>
        <w:t xml:space="preserve">”</w:t>
      </w:r>
      <w:r>
        <w:t xml:space="preserve"> </w:t>
      </w:r>
      <w:r>
        <w:t xml:space="preserve">and building Fin on top—emphasizing not just technical work but the fortitude to bet on the new thing, including</w:t>
      </w:r>
      <w:r>
        <w:t xml:space="preserve"> </w:t>
      </w:r>
      <w:r>
        <w:t xml:space="preserve">“</w:t>
      </w:r>
      <w:r>
        <w:t xml:space="preserve">probably a year of feeling ridiculous</w:t>
      </w:r>
      <w:r>
        <w:t xml:space="preserve">”</w:t>
      </w:r>
      <w:r>
        <w:t xml:space="preserve"> </w:t>
      </w:r>
      <w:r>
        <w:t xml:space="preserve">amid customer pressure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candid reference point for leaders attempting major AI-driven product transitions inside a live, legacy business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0"/>
    <w:bookmarkStart w:id="9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  <w:p>
      <w:pPr>
        <w:numPr>
          <w:ilvl w:val="0"/>
          <w:numId w:val="1010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@ShaanVP</w:t>
        </w:r>
      </w:hyperlink>
    </w:p>
    <w:p>
      <w:pPr>
        <w:numPr>
          <w:ilvl w:val="0"/>
          <w:numId w:val="1010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@jamwt</w:t>
        </w:r>
      </w:hyperlink>
    </w:p>
    <w:p>
      <w:pPr>
        <w:numPr>
          <w:ilvl w:val="0"/>
          <w:numId w:val="1010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p>
      <w:pPr>
        <w:numPr>
          <w:ilvl w:val="0"/>
          <w:numId w:val="1010"/>
        </w:numPr>
        <w:pStyle w:val="Compact"/>
      </w:pPr>
      <w:hyperlink r:id="rId42">
        <w:r>
          <w:rPr>
            <w:rStyle w:val="Hyperlink"/>
          </w:rPr>
          <w:t xml:space="preserve">Costless Sacrifice</w:t>
        </w:r>
      </w:hyperlink>
    </w:p>
    <w:p>
      <w:pPr>
        <w:numPr>
          <w:ilvl w:val="0"/>
          <w:numId w:val="1010"/>
        </w:numPr>
        <w:pStyle w:val="Compact"/>
      </w:pP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  <w:bookmarkEnd w:id="91"/>
    <w:bookmarkEnd w:id="92"/>
    <w:bookmarkEnd w:id="9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@ShaanVP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@ShaanVP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@ShaanVP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@ShaanVP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@jamwt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@jamwt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@jamwt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Costless Sacrifice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Anthropic vs The Pentagon: Who Wins? | OpenAI’s $110BN Mega Round | Cursor Hits $2BN in ARR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9" Target="media/rId79.jpg" /><Relationship Type="http://schemas.openxmlformats.org/officeDocument/2006/relationships/hyperlink" Id="rId42" Target="https://www.notboring.co/p/costless-sacrifice" TargetMode="External" /><Relationship Type="http://schemas.openxmlformats.org/officeDocument/2006/relationships/hyperlink" Id="rId73" Target="https://www.youtube.com/watch?v=7RHwE_M68BY" TargetMode="External" /><Relationship Type="http://schemas.openxmlformats.org/officeDocument/2006/relationships/hyperlink" Id="rId24" Target="https://x.com/ShaanVP/status/2029580452751647174" TargetMode="External" /><Relationship Type="http://schemas.openxmlformats.org/officeDocument/2006/relationships/hyperlink" Id="rId31" Target="https://x.com/jamwt/status/2029353984792961278" TargetMode="External" /><Relationship Type="http://schemas.openxmlformats.org/officeDocument/2006/relationships/hyperlink" Id="rId34" Target="https://x.com/martin_casado/status/2029467048359981378" TargetMode="External" /><Relationship Type="http://schemas.openxmlformats.org/officeDocument/2006/relationships/hyperlink" Id="rId21" Target="https://x.com/tferriss/status/2029283224866770944" TargetMode="External" /><Relationship Type="http://schemas.openxmlformats.org/officeDocument/2006/relationships/hyperlink" Id="rId82" Target="https://youtube.com/watch?v=7RHwE_M68BY&amp;t=45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s://www.notboring.co/p/costless-sacrifice" TargetMode="External" /><Relationship Type="http://schemas.openxmlformats.org/officeDocument/2006/relationships/hyperlink" Id="rId73" Target="https://www.youtube.com/watch?v=7RHwE_M68BY" TargetMode="External" /><Relationship Type="http://schemas.openxmlformats.org/officeDocument/2006/relationships/hyperlink" Id="rId24" Target="https://x.com/ShaanVP/status/2029580452751647174" TargetMode="External" /><Relationship Type="http://schemas.openxmlformats.org/officeDocument/2006/relationships/hyperlink" Id="rId31" Target="https://x.com/jamwt/status/2029353984792961278" TargetMode="External" /><Relationship Type="http://schemas.openxmlformats.org/officeDocument/2006/relationships/hyperlink" Id="rId34" Target="https://x.com/martin_casado/status/2029467048359981378" TargetMode="External" /><Relationship Type="http://schemas.openxmlformats.org/officeDocument/2006/relationships/hyperlink" Id="rId21" Target="https://x.com/tferriss/status/2029283224866770944" TargetMode="External" /><Relationship Type="http://schemas.openxmlformats.org/officeDocument/2006/relationships/hyperlink" Id="rId82" Target="https://youtube.com/watch?v=7RHwE_M68BY&amp;t=45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Self-help sobriety, database fundamentals, and AI-era signal vs. noise</dc:title>
  <dc:creator>Recommended Reading from Tech Founders</dc:creator>
  <cp:keywords/>
  <dcterms:created xsi:type="dcterms:W3CDTF">2026-03-07T03:49:52Z</dcterms:created>
  <dcterms:modified xsi:type="dcterms:W3CDTF">2026-03-07T03:49:52Z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2026-03-06</vt:lpwstr>
  </property>
</Properties>
</file>