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Shoe Dog distilled into operating principles, plus trending career reading and the rise of “verifiers”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2026-02-25</w:t>
      </w:r>
    </w:p>
    <w:bookmarkStart w:id="164" w:name="Xd79c85246f76033282a555c862d6a96787fdb9d"/>
    <w:p>
      <w:pPr>
        <w:pStyle w:val="Heading1"/>
      </w:pPr>
      <w:r>
        <w:t xml:space="preserve">Shoe Dog distilled into operating principles, plus trending career reading and the rise of</w:t>
      </w:r>
      <w:r>
        <w:t xml:space="preserve"> </w:t>
      </w:r>
      <w:r>
        <w:t xml:space="preserve">“</w:t>
      </w:r>
      <w:r>
        <w:t xml:space="preserve">verifiers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25, 2026</w:t>
      </w:r>
    </w:p>
    <w:p>
      <w:pPr>
        <w:pStyle w:val="BodyText"/>
      </w:pPr>
      <w:r>
        <w:t xml:space="preserve">A high-signal set of learning resources recommended by founders and investors, led by Shane Parrish’s actionable distillation of</w:t>
      </w:r>
      <w:r>
        <w:t xml:space="preserve"> </w:t>
      </w:r>
      <w:r>
        <w:rPr>
          <w:iCs/>
          <w:i/>
        </w:rPr>
        <w:t xml:space="preserve">Shoe Dog</w:t>
      </w:r>
      <w:r>
        <w:t xml:space="preserve">. Also included: a convergent career-book pick from Tony Fadell and Tim Ferriss (with a free chapter excerpt), a thread on the growing need for</w:t>
      </w:r>
      <w:r>
        <w:t xml:space="preserve"> </w:t>
      </w:r>
      <w:r>
        <w:t xml:space="preserve">“</w:t>
      </w:r>
      <w:r>
        <w:t xml:space="preserve">verifiers,</w:t>
      </w:r>
      <w:r>
        <w:t xml:space="preserve">”</w:t>
      </w:r>
      <w:r>
        <w:t xml:space="preserve"> </w:t>
      </w:r>
      <w:r>
        <w:t xml:space="preserve">and several investing, creativity, and personal operating-system essentials.</w:t>
      </w:r>
    </w:p>
    <w:bookmarkStart w:id="41" w:name="X2e6c98c431cfd182e1e965546961c1c5933ff92"/>
    <w:p>
      <w:pPr>
        <w:pStyle w:val="Heading2"/>
      </w:pPr>
      <w:r>
        <w:t xml:space="preserve">Most compelling recommendation: a founder memoir distilled into actionable operating principles</w:t>
      </w:r>
    </w:p>
    <w:bookmarkStart w:id="40" w:name="shoe-dog-book-phil-knight"/>
    <w:p>
      <w:pPr>
        <w:pStyle w:val="Heading3"/>
      </w:pPr>
      <w:r>
        <w:rPr>
          <w:iCs/>
          <w:i/>
        </w:rPr>
        <w:t xml:space="preserve">Shoe Dog</w:t>
      </w:r>
      <w:r>
        <w:t xml:space="preserve"> </w:t>
      </w:r>
      <w:r>
        <w:t xml:space="preserve">(book) — Phil Knight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Phil Knight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 Shane Parrish (Farnam Street), in a YouTube breakdown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Parrish calls it</w:t>
      </w:r>
      <w:r>
        <w:t xml:space="preserve"> </w:t>
      </w:r>
      <w:r>
        <w:t xml:space="preserve">“</w:t>
      </w:r>
      <w:r>
        <w:t xml:space="preserve">one of the best business books ever written</w:t>
      </w:r>
      <w:r>
        <w:t xml:space="preserve">”</w:t>
      </w:r>
      <w:r>
        <w:t xml:space="preserve"> </w:t>
      </w:r>
      <w:r>
        <w:t xml:space="preserve">because it</w:t>
      </w:r>
      <w:r>
        <w:t xml:space="preserve"> </w:t>
      </w:r>
      <w:r>
        <w:t xml:space="preserve">“</w:t>
      </w:r>
      <w:r>
        <w:t xml:space="preserve">tells the truth about what building something actually feels like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, including how the company</w:t>
      </w:r>
      <w:r>
        <w:t xml:space="preserve"> </w:t>
      </w:r>
      <w:r>
        <w:t xml:space="preserve">“</w:t>
      </w:r>
      <w:r>
        <w:t xml:space="preserve">almost died daily</w:t>
      </w:r>
      <w:r>
        <w:t xml:space="preserve">”</w:t>
      </w:r>
      <w:r>
        <w:t xml:space="preserve"> </w:t>
      </w:r>
      <w:r>
        <w:t xml:space="preserve">amid compounding crises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 He pulls out a set of repeatable lessons: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Belief draws people in</w:t>
      </w:r>
      <w:r>
        <w:t xml:space="preserve">:</w:t>
      </w:r>
      <w:r>
        <w:t xml:space="preserve"> </w:t>
      </w:r>
      <w:r>
        <w:t xml:space="preserve">“</w:t>
      </w:r>
      <w:r>
        <w:t xml:space="preserve">Belief is irresistible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genuine conviction is contagious—you stop persuading and start attracting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Reframe fear by facing the worst case</w:t>
      </w:r>
      <w:r>
        <w:t xml:space="preserve">:</w:t>
      </w:r>
      <w:r>
        <w:t xml:space="preserve"> </w:t>
      </w:r>
      <w:r>
        <w:t xml:space="preserve">“</w:t>
      </w:r>
      <w:r>
        <w:t xml:space="preserve">Fail fast… but fight like hell not to</w:t>
      </w:r>
      <w:r>
        <w:t xml:space="preserve">”</w:t>
      </w:r>
      <w:r>
        <w:t xml:space="preserve"> </w:t>
      </w:r>
      <w:r>
        <w:t xml:space="preserve">and use worst-case thinking to change your relationship with fear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Lead with autonomy, not instructions</w:t>
      </w:r>
      <w:r>
        <w:t xml:space="preserve">:</w:t>
      </w:r>
      <w:r>
        <w:t xml:space="preserve"> </w:t>
      </w:r>
      <w:r>
        <w:t xml:space="preserve">“</w:t>
      </w:r>
      <w:r>
        <w:t xml:space="preserve">Tell them what to do, and let them surprise you with the results</w:t>
      </w:r>
      <w:r>
        <w:t xml:space="preserve">”</w:t>
      </w:r>
      <w:r>
        <w:t xml:space="preserve"> </w:t>
      </w:r>
      <w:r>
        <w:t xml:space="preserve">(as a contrast to micromanagement)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Make work feel like play when the mission is real</w:t>
      </w:r>
      <w:r>
        <w:t xml:space="preserve">: when you believe in what you’re building, the work can</w:t>
      </w:r>
      <w:r>
        <w:t xml:space="preserve"> </w:t>
      </w:r>
      <w:r>
        <w:t xml:space="preserve">“</w:t>
      </w:r>
      <w:r>
        <w:t xml:space="preserve">pull[] you forward</w:t>
      </w:r>
      <w:r>
        <w:t xml:space="preserve">”</w:t>
      </w:r>
      <w:r>
        <w:t xml:space="preserve"> </w:t>
      </w:r>
      <w:r>
        <w:t xml:space="preserve">and the work/play boundary dissolves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Use the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goodbye test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for people decisions</w:t>
      </w:r>
      <w:r>
        <w:t xml:space="preserve">: imagine someone leaving to reveal their true importance to you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Focus on the one task that matters, and on what’s working</w:t>
      </w:r>
      <w:r>
        <w:t xml:space="preserve">: when things are toughest, deliberately direct attention toward what’s working (not only what’s broken)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This recommendation comes with</w:t>
      </w:r>
      <w:r>
        <w:t xml:space="preserve"> </w:t>
      </w:r>
      <w:r>
        <w:rPr>
          <w:iCs/>
          <w:i/>
        </w:rPr>
        <w:t xml:space="preserve">specific</w:t>
      </w:r>
      <w:r>
        <w:t xml:space="preserve"> </w:t>
      </w:r>
      <w:r>
        <w:t xml:space="preserve">decision frameworks (belief, fear management, delegation, focus) grounded in a narrative of near-constant existential pressure</w:t>
      </w:r>
      <w:r>
        <w:t xml:space="preserve"> </w:t>
      </w:r>
      <w:r>
        <w:rPr>
          <w:rStyle w:val="FootnoteReference"/>
        </w:rPr>
        <w:footnoteReference w:id="33"/>
      </w:r>
      <w:r>
        <w:rPr>
          <w:rStyle w:val="FootnoteReference"/>
        </w:rPr>
        <w:footnoteReference w:id="34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Belief is irresistible.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pStyle w:val="FirstParagraph"/>
      </w:pPr>
      <w:hyperlink r:id="rId39">
        <w:r>
          <w:drawing>
            <wp:inline>
              <wp:extent cx="5334000" cy="4000500"/>
              <wp:effectExtent b="0" l="0" r="0" t="0"/>
              <wp:docPr descr="[Outliers] Phil Knight: The Obsession That Built Nike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eqRHzf41JMU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[Outliers] Phil Knight: The Obsession That Built Nike (7:58)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58" w:name="X44896da0cf12b8f31356d52088a0f04a4b6000f"/>
    <w:p>
      <w:pPr>
        <w:pStyle w:val="Heading2"/>
      </w:pPr>
      <w:r>
        <w:t xml:space="preserve">Multiple leaders converged on the same career book (with a free chapter excerpt)</w:t>
      </w:r>
    </w:p>
    <w:bookmarkStart w:id="57" w:name="Xdd4ca566d006d43487511879e239bd3eb2b7303"/>
    <w:p>
      <w:pPr>
        <w:pStyle w:val="Heading3"/>
      </w:pPr>
      <w:r>
        <w:rPr>
          <w:iCs/>
          <w:i/>
        </w:rPr>
        <w:t xml:space="preserve">Runnin’ Down a Dream: How to Thrive in a Career You Actually Love</w:t>
      </w:r>
      <w:r>
        <w:t xml:space="preserve"> </w:t>
      </w:r>
      <w:r>
        <w:t xml:space="preserve">(book) — Bill Gurley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42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</w:t>
      </w:r>
      <w:r>
        <w:t xml:space="preserve">: Bill Gurley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 (excerpt)</w:t>
      </w:r>
      <w:r>
        <w:t xml:space="preserve">: https://tim.blog/2026/01/26/runnin-down-a-dream-how-to-thrive-in-a-career-you-actually-love/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</w:t>
      </w:r>
      <w:r>
        <w:t xml:space="preserve">:</w:t>
      </w:r>
    </w:p>
    <w:p>
      <w:pPr>
        <w:numPr>
          <w:ilvl w:val="1"/>
          <w:numId w:val="1004"/>
        </w:numPr>
        <w:pStyle w:val="Compact"/>
      </w:pPr>
      <w:r>
        <w:t xml:space="preserve">Tony Fadell (launch-day endorsement)</w:t>
      </w:r>
      <w:r>
        <w:t xml:space="preserve"> </w:t>
      </w:r>
      <w:r>
        <w:rPr>
          <w:rStyle w:val="FootnoteReference"/>
        </w:rPr>
        <w:footnoteReference w:id="46"/>
      </w:r>
    </w:p>
    <w:p>
      <w:pPr>
        <w:numPr>
          <w:ilvl w:val="1"/>
          <w:numId w:val="1004"/>
        </w:numPr>
        <w:pStyle w:val="Compact"/>
      </w:pPr>
      <w:r>
        <w:t xml:space="preserve">Tim Ferriss (following a recent interview)</w:t>
      </w:r>
      <w:r>
        <w:t xml:space="preserve"> </w:t>
      </w:r>
      <w:r>
        <w:rPr>
          <w:rStyle w:val="FootnoteReference"/>
        </w:rPr>
        <w:footnoteReference w:id="48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numPr>
          <w:ilvl w:val="1"/>
          <w:numId w:val="1005"/>
        </w:numPr>
        <w:pStyle w:val="Compact"/>
      </w:pPr>
      <w:r>
        <w:t xml:space="preserve">Fadell’s guidance is simple:</w:t>
      </w:r>
      <w:r>
        <w:t xml:space="preserve"> </w:t>
      </w:r>
      <w:r>
        <w:t xml:space="preserve">“</w:t>
      </w:r>
      <w:r>
        <w:t xml:space="preserve">Order and read immediately!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9"/>
      </w:r>
    </w:p>
    <w:p>
      <w:pPr>
        <w:numPr>
          <w:ilvl w:val="1"/>
          <w:numId w:val="1005"/>
        </w:numPr>
        <w:pStyle w:val="Compact"/>
      </w:pPr>
      <w:r>
        <w:t xml:space="preserve">Ferriss said he interviewed Gurley about the new book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and shared the chapter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 Where The Action Is</w:t>
      </w:r>
      <w:r>
        <w:rPr>
          <w:bCs/>
          <w:b/>
        </w:rPr>
        <w:t xml:space="preserve">”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—reprinted with permission</w:t>
      </w:r>
      <w:r>
        <w:t xml:space="preserve"> </w:t>
      </w:r>
      <w:r>
        <w:t xml:space="preserve">“</w:t>
      </w:r>
      <w:r>
        <w:t xml:space="preserve">to give you a taste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This is a high-signal</w:t>
      </w:r>
      <w:r>
        <w:t xml:space="preserve"> </w:t>
      </w:r>
      <w:r>
        <w:t xml:space="preserve">“</w:t>
      </w:r>
      <w:r>
        <w:t xml:space="preserve">multiple independent recommendations</w:t>
      </w:r>
      <w:r>
        <w:t xml:space="preserve">”</w:t>
      </w:r>
      <w:r>
        <w:t xml:space="preserve"> </w:t>
      </w:r>
      <w:r>
        <w:t xml:space="preserve">pattern (Fadell + Ferriss)</w:t>
      </w:r>
      <w:r>
        <w:t xml:space="preserve"> </w:t>
      </w:r>
      <w:r>
        <w:rPr>
          <w:rStyle w:val="FootnoteReference"/>
        </w:rPr>
        <w:footnoteReference w:id="53"/>
      </w:r>
      <w:r>
        <w:rPr>
          <w:rStyle w:val="FootnoteReference"/>
        </w:rPr>
        <w:footnoteReference w:id="54"/>
      </w:r>
      <w:r>
        <w:t xml:space="preserve">, and Ferriss provides a low-friction way to sample the material via a full chapter excerpt</w:t>
      </w:r>
      <w:r>
        <w:t xml:space="preserve"> </w:t>
      </w:r>
      <w:r>
        <w:rPr>
          <w:rStyle w:val="FootnoteReference"/>
        </w:rPr>
        <w:footnoteReference w:id="55"/>
      </w:r>
      <w:r>
        <w:rPr>
          <w:rStyle w:val="FootnoteReference"/>
        </w:rPr>
        <w:footnoteReference w:id="5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70" w:name="X8d15469a3973fb1f9bb008aebf3c93d669ab296"/>
    <w:p>
      <w:pPr>
        <w:pStyle w:val="Heading2"/>
      </w:pPr>
      <w:r>
        <w:t xml:space="preserve">Work and AI: why</w:t>
      </w:r>
      <w:r>
        <w:t xml:space="preserve"> </w:t>
      </w:r>
      <w:r>
        <w:t xml:space="preserve">“</w:t>
      </w:r>
      <w:r>
        <w:t xml:space="preserve">verification</w:t>
      </w:r>
      <w:r>
        <w:t xml:space="preserve">”</w:t>
      </w:r>
      <w:r>
        <w:t xml:space="preserve"> </w:t>
      </w:r>
      <w:r>
        <w:t xml:space="preserve">demand is growing—and why the training pipeline is thinning</w:t>
      </w:r>
    </w:p>
    <w:bookmarkStart w:id="69" w:name="X5f50c9a25d762debfe27630a3ba0068bde4212c"/>
    <w:p>
      <w:pPr>
        <w:pStyle w:val="Heading3"/>
      </w:pPr>
      <w:r>
        <w:t xml:space="preserve">“</w:t>
      </w:r>
      <w:r>
        <w:t xml:space="preserve">Verifiers</w:t>
      </w:r>
      <w:r>
        <w:t xml:space="preserve">”</w:t>
      </w:r>
      <w:r>
        <w:t xml:space="preserve"> </w:t>
      </w:r>
      <w:r>
        <w:t xml:space="preserve">+ the</w:t>
      </w:r>
      <w:r>
        <w:t xml:space="preserve"> </w:t>
      </w:r>
      <w:r>
        <w:t xml:space="preserve">“</w:t>
      </w:r>
      <w:r>
        <w:t xml:space="preserve">Missing Junior Loop</w:t>
      </w:r>
      <w:r>
        <w:t xml:space="preserve">”</w:t>
      </w:r>
      <w:r>
        <w:t xml:space="preserve"> </w:t>
      </w:r>
      <w:r>
        <w:t xml:space="preserve">(X thread/analysis) —</w:t>
      </w:r>
      <w:r>
        <w:t xml:space="preserve"> </w:t>
      </w:r>
      <w:r>
        <w:t xml:space="preserve">@ccatalini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</w:t>
      </w:r>
      <w:r>
        <w:t xml:space="preserve">: X thread/analysis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Author/creator</w:t>
      </w:r>
      <w:r>
        <w:t xml:space="preserve">:</w:t>
      </w:r>
      <w:r>
        <w:t xml:space="preserve"> </w:t>
      </w:r>
      <w:r>
        <w:t xml:space="preserve">@ccatalini</w:t>
      </w:r>
      <w:r>
        <w:t xml:space="preserve"> </w:t>
      </w:r>
      <w:r>
        <w:rPr>
          <w:rStyle w:val="FootnoteReference"/>
        </w:rPr>
        <w:footnoteReference w:id="61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Link/URL</w:t>
      </w:r>
      <w:r>
        <w:t xml:space="preserve">: https://x.com/ccatalini/status/2026311839089631468</w:t>
      </w:r>
      <w:r>
        <w:t xml:space="preserve"> </w:t>
      </w:r>
      <w:r>
        <w:rPr>
          <w:rStyle w:val="FootnoteReference"/>
        </w:rPr>
        <w:footnoteReference w:id="62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recommended it</w:t>
      </w:r>
      <w:r>
        <w:t xml:space="preserve">: Scott Belsky</w:t>
      </w:r>
      <w:r>
        <w:t xml:space="preserve"> </w:t>
      </w:r>
      <w:r>
        <w:rPr>
          <w:rStyle w:val="FootnoteReference"/>
        </w:rPr>
        <w:footnoteReference w:id="63"/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</w:p>
    <w:p>
      <w:pPr>
        <w:numPr>
          <w:ilvl w:val="1"/>
          <w:numId w:val="1007"/>
        </w:numPr>
        <w:pStyle w:val="Compact"/>
      </w:pPr>
      <w:r>
        <w:t xml:space="preserve">With</w:t>
      </w:r>
      <w:r>
        <w:t xml:space="preserve"> </w:t>
      </w:r>
      <w:r>
        <w:t xml:space="preserve">“</w:t>
      </w:r>
      <w:r>
        <w:t xml:space="preserve">exponential and autonomous software generating all sorts of outputs and taking actions on our behalf,</w:t>
      </w:r>
      <w:r>
        <w:t xml:space="preserve">”</w:t>
      </w:r>
      <w:r>
        <w:t xml:space="preserve"> </w:t>
      </w:r>
      <w:r>
        <w:t xml:space="preserve">Belsky highlights the thread’s claim that there will be an</w:t>
      </w:r>
      <w:r>
        <w:t xml:space="preserve"> </w:t>
      </w:r>
      <w:r>
        <w:t xml:space="preserve">“</w:t>
      </w:r>
      <w:r>
        <w:t xml:space="preserve">explosion of stuff to verify,</w:t>
      </w:r>
      <w:r>
        <w:t xml:space="preserve">”</w:t>
      </w:r>
      <w:r>
        <w:t xml:space="preserve"> </w:t>
      </w:r>
      <w:r>
        <w:t xml:space="preserve">driving demand for</w:t>
      </w:r>
      <w:r>
        <w:t xml:space="preserve"> </w:t>
      </w:r>
      <w:r>
        <w:t xml:space="preserve">“</w:t>
      </w:r>
      <w:r>
        <w:t xml:space="preserve">verifiers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The thread also flags a</w:t>
      </w:r>
      <w:r>
        <w:t xml:space="preserve"> </w:t>
      </w:r>
      <w:r>
        <w:t xml:space="preserve">“</w:t>
      </w:r>
      <w:r>
        <w:t xml:space="preserve">Missing Junior Loop</w:t>
      </w:r>
      <w:r>
        <w:t xml:space="preserve">”</w:t>
      </w:r>
      <w:r>
        <w:t xml:space="preserve">: firms are</w:t>
      </w:r>
      <w:r>
        <w:t xml:space="preserve"> </w:t>
      </w:r>
      <w:r>
        <w:t xml:space="preserve">“</w:t>
      </w:r>
      <w:r>
        <w:t xml:space="preserve">thinning the pipeline that produces future verifiers</w:t>
      </w:r>
      <w:r>
        <w:t xml:space="preserve">”</w:t>
      </w:r>
      <w:r>
        <w:t xml:space="preserve"> </w:t>
      </w:r>
      <w:r>
        <w:t xml:space="preserve">while the economy needs to expand verification capacity—</w:t>
      </w:r>
      <w:r>
        <w:t xml:space="preserve">“</w:t>
      </w:r>
      <w:r>
        <w:t xml:space="preserve">the old apprenticeship model is being quietly dismantled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</w:t>
      </w:r>
      <w:r>
        <w:t xml:space="preserve">: If verification work is increasing while the apprentice-to-expert pathway is shrinking, the bottleneck becomes</w:t>
      </w:r>
      <w:r>
        <w:t xml:space="preserve"> </w:t>
      </w:r>
      <w:r>
        <w:rPr>
          <w:iCs/>
          <w:i/>
        </w:rPr>
        <w:t xml:space="preserve">capacity-building</w:t>
      </w:r>
      <w:r>
        <w:t xml:space="preserve"> </w:t>
      </w:r>
      <w:r>
        <w:t xml:space="preserve">(how people become competent verifiers)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 </w:t>
      </w:r>
      <w:r>
        <w:t xml:space="preserve">rather than just the headline demand signal</w:t>
      </w:r>
      <w:r>
        <w:t xml:space="preserve"> </w:t>
      </w:r>
      <w:r>
        <w:rPr>
          <w:rStyle w:val="FootnoteReference"/>
        </w:rPr>
        <w:footnoteReference w:id="6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95" w:name="X6461c31cd12622204ebe57af2141db774e05a34"/>
    <w:p>
      <w:pPr>
        <w:pStyle w:val="Heading2"/>
      </w:pPr>
      <w:r>
        <w:t xml:space="preserve">Investing pattern recognition: signals in writing, plus history as a risk-avoidance tool</w:t>
      </w:r>
    </w:p>
    <w:bookmarkStart w:id="77" w:name="Xdbd9049db1f219aef9339f91ab67258ddc56fd1"/>
    <w:p>
      <w:pPr>
        <w:pStyle w:val="Heading3"/>
      </w:pPr>
      <w:r>
        <w:t xml:space="preserve">Jeff Bezos’ 1997 shareholder letter (shareholder letter)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Content type</w:t>
      </w:r>
      <w:r>
        <w:t xml:space="preserve">: Shareholder letter</w:t>
      </w:r>
      <w:r>
        <w:t xml:space="preserve"> </w:t>
      </w:r>
      <w:r>
        <w:rPr>
          <w:rStyle w:val="FootnoteReference"/>
        </w:rPr>
        <w:footnoteReference w:id="71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Author/creator</w:t>
      </w:r>
      <w:r>
        <w:t xml:space="preserve">: Jeff Bezos</w:t>
      </w:r>
      <w:r>
        <w:t xml:space="preserve"> </w:t>
      </w:r>
      <w:r>
        <w:rPr>
          <w:rStyle w:val="FootnoteReference"/>
        </w:rPr>
        <w:footnoteReference w:id="73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Who recommended it</w:t>
      </w:r>
      <w:r>
        <w:t xml:space="preserve">: Dan Sundheim (D1 Capital), on</w:t>
      </w:r>
      <w:r>
        <w:t xml:space="preserve"> </w:t>
      </w:r>
      <w:r>
        <w:rPr>
          <w:iCs/>
          <w:i/>
        </w:rPr>
        <w:t xml:space="preserve">Invest Like The Best</w:t>
      </w:r>
      <w:r>
        <w:t xml:space="preserve"> </w:t>
      </w:r>
      <w:r>
        <w:rPr>
          <w:rStyle w:val="FootnoteReference"/>
        </w:rPr>
        <w:footnoteReference w:id="74"/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Sundheim says that early on, Amazon’s income statement looked like</w:t>
      </w:r>
      <w:r>
        <w:t xml:space="preserve"> </w:t>
      </w:r>
      <w:r>
        <w:t xml:space="preserve">“</w:t>
      </w:r>
      <w:r>
        <w:t xml:space="preserve">a sea of red,</w:t>
      </w:r>
      <w:r>
        <w:t xml:space="preserve">”</w:t>
      </w:r>
      <w:r>
        <w:t xml:space="preserve"> </w:t>
      </w:r>
      <w:r>
        <w:t xml:space="preserve">and that the</w:t>
      </w:r>
      <w:r>
        <w:t xml:space="preserve"> </w:t>
      </w:r>
      <w:r>
        <w:t xml:space="preserve">“</w:t>
      </w:r>
      <w:r>
        <w:t xml:space="preserve">only telltale sign</w:t>
      </w:r>
      <w:r>
        <w:t xml:space="preserve">”</w:t>
      </w:r>
      <w:r>
        <w:t xml:space="preserve"> </w:t>
      </w:r>
      <w:r>
        <w:t xml:space="preserve">was the</w:t>
      </w:r>
      <w:r>
        <w:t xml:space="preserve"> </w:t>
      </w:r>
      <w:r>
        <w:rPr>
          <w:bCs/>
          <w:b/>
        </w:rPr>
        <w:t xml:space="preserve">clarity of thought</w:t>
      </w:r>
      <w:r>
        <w:t xml:space="preserve"> </w:t>
      </w:r>
      <w:r>
        <w:t xml:space="preserve">in the 1997 letter—so much so that reading it and</w:t>
      </w:r>
      <w:r>
        <w:t xml:space="preserve"> </w:t>
      </w:r>
      <w:r>
        <w:t xml:space="preserve">“</w:t>
      </w:r>
      <w:r>
        <w:t xml:space="preserve">almost ignor[ing] everything else</w:t>
      </w:r>
      <w:r>
        <w:t xml:space="preserve">”</w:t>
      </w:r>
      <w:r>
        <w:t xml:space="preserve"> </w:t>
      </w:r>
      <w:r>
        <w:t xml:space="preserve">would have been an important and profitable signal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concrete example of weighting</w:t>
      </w:r>
      <w:r>
        <w:t xml:space="preserve"> </w:t>
      </w:r>
      <w:r>
        <w:t xml:space="preserve">“</w:t>
      </w:r>
      <w:r>
        <w:t xml:space="preserve">written clarity</w:t>
      </w:r>
      <w:r>
        <w:t xml:space="preserve">”</w:t>
      </w:r>
      <w:r>
        <w:t xml:space="preserve"> </w:t>
      </w:r>
      <w:r>
        <w:t xml:space="preserve">as an investing input when financial statements are non-informative (or misleading) in a company’s early days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bookmarkEnd w:id="77"/>
    <w:bookmarkStart w:id="83" w:name="Xa021f586d81947a4869a5ec0dca0ae1736c97a0"/>
    <w:p>
      <w:pPr>
        <w:pStyle w:val="Heading3"/>
      </w:pPr>
      <w:r>
        <w:t xml:space="preserve">Dario Amodei’s essays + podcast appearances (essays/podcasts)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Content type</w:t>
      </w:r>
      <w:r>
        <w:t xml:space="preserve">: Essays and podcasts</w:t>
      </w:r>
      <w:r>
        <w:t xml:space="preserve"> </w:t>
      </w:r>
      <w:r>
        <w:rPr>
          <w:rStyle w:val="FootnoteReference"/>
        </w:rPr>
        <w:footnoteReference w:id="78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Author/creator</w:t>
      </w:r>
      <w:r>
        <w:t xml:space="preserve">: Dario Amodei</w:t>
      </w:r>
      <w:r>
        <w:t xml:space="preserve"> </w:t>
      </w:r>
      <w:r>
        <w:rPr>
          <w:rStyle w:val="FootnoteReference"/>
        </w:rPr>
        <w:footnoteReference w:id="79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Who recommended it</w:t>
      </w:r>
      <w:r>
        <w:t xml:space="preserve">: Dan Sundheim</w:t>
      </w:r>
      <w:r>
        <w:t xml:space="preserve"> </w:t>
      </w:r>
      <w:r>
        <w:rPr>
          <w:rStyle w:val="FootnoteReference"/>
        </w:rPr>
        <w:footnoteReference w:id="80"/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Sundheim says his</w:t>
      </w:r>
      <w:r>
        <w:t xml:space="preserve"> </w:t>
      </w:r>
      <w:r>
        <w:t xml:space="preserve">“</w:t>
      </w:r>
      <w:r>
        <w:t xml:space="preserve">pattern recognition</w:t>
      </w:r>
      <w:r>
        <w:t xml:space="preserve">”</w:t>
      </w:r>
      <w:r>
        <w:t xml:space="preserve"> </w:t>
      </w:r>
      <w:r>
        <w:t xml:space="preserve">on Anthropic came from reading Dario’s essays and listening to him on podcasts, and he places heavy weight on CEO clarity of thought—saying Dario did this</w:t>
      </w:r>
      <w:r>
        <w:t xml:space="preserve"> </w:t>
      </w:r>
      <w:r>
        <w:t xml:space="preserve">“</w:t>
      </w:r>
      <w:r>
        <w:t xml:space="preserve">better than almost any CEO</w:t>
      </w:r>
      <w:r>
        <w:t xml:space="preserve">”</w:t>
      </w:r>
      <w:r>
        <w:t xml:space="preserve"> </w:t>
      </w:r>
      <w:r>
        <w:t xml:space="preserve">he’s seen since Bezos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Why it matters</w:t>
      </w:r>
      <w:r>
        <w:t xml:space="preserve">: This frames long-form communication (essays, interviews) as a primary diligence channel for assessing leadership quality and focus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</w:p>
    <w:bookmarkEnd w:id="83"/>
    <w:bookmarkStart w:id="88" w:name="real-dictators-podcast"/>
    <w:p>
      <w:pPr>
        <w:pStyle w:val="Heading3"/>
      </w:pPr>
      <w:r>
        <w:rPr>
          <w:iCs/>
          <w:i/>
        </w:rPr>
        <w:t xml:space="preserve">Real Dictators</w:t>
      </w:r>
      <w:r>
        <w:t xml:space="preserve"> </w:t>
      </w:r>
      <w:r>
        <w:t xml:space="preserve">(podcast)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Content type</w:t>
      </w:r>
      <w:r>
        <w:t xml:space="preserve">: Podcast</w:t>
      </w:r>
      <w:r>
        <w:t xml:space="preserve"> </w:t>
      </w:r>
      <w:r>
        <w:rPr>
          <w:rStyle w:val="FootnoteReference"/>
        </w:rPr>
        <w:footnoteReference w:id="84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Who recommended it</w:t>
      </w:r>
      <w:r>
        <w:t xml:space="preserve">: Dan Sundheim</w:t>
      </w:r>
      <w:r>
        <w:t xml:space="preserve"> </w:t>
      </w:r>
      <w:r>
        <w:rPr>
          <w:rStyle w:val="FootnoteReference"/>
        </w:rPr>
        <w:footnoteReference w:id="85"/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He listens because he</w:t>
      </w:r>
      <w:r>
        <w:t xml:space="preserve"> </w:t>
      </w:r>
      <w:r>
        <w:t xml:space="preserve">“</w:t>
      </w:r>
      <w:r>
        <w:t xml:space="preserve">like[s] history,</w:t>
      </w:r>
      <w:r>
        <w:t xml:space="preserve">”</w:t>
      </w:r>
      <w:r>
        <w:t xml:space="preserve"> </w:t>
      </w:r>
      <w:r>
        <w:t xml:space="preserve">and because understanding how</w:t>
      </w:r>
      <w:r>
        <w:t xml:space="preserve"> </w:t>
      </w:r>
      <w:r>
        <w:t xml:space="preserve">“</w:t>
      </w:r>
      <w:r>
        <w:t xml:space="preserve">horrible leaders</w:t>
      </w:r>
      <w:r>
        <w:t xml:space="preserve">”</w:t>
      </w:r>
      <w:r>
        <w:t xml:space="preserve"> </w:t>
      </w:r>
      <w:r>
        <w:t xml:space="preserve">and systems (e.g., communism/fascism) played out can help you avoid repeating mistakes—</w:t>
      </w:r>
      <w:r>
        <w:t xml:space="preserve">“</w:t>
      </w:r>
      <w:r>
        <w:t xml:space="preserve">it tends to repeat itself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Why it matters</w:t>
      </w:r>
      <w:r>
        <w:t xml:space="preserve">: It’s recommended as a way to internalize historical failure modes and recognize</w:t>
      </w:r>
      <w:r>
        <w:t xml:space="preserve"> </w:t>
      </w:r>
      <w:r>
        <w:t xml:space="preserve">“</w:t>
      </w:r>
      <w:r>
        <w:t xml:space="preserve">seeds</w:t>
      </w:r>
      <w:r>
        <w:t xml:space="preserve">”</w:t>
      </w:r>
      <w:r>
        <w:t xml:space="preserve"> </w:t>
      </w:r>
      <w:r>
        <w:t xml:space="preserve">of them in the present</w:t>
      </w:r>
      <w:r>
        <w:t xml:space="preserve"> </w:t>
      </w:r>
      <w:r>
        <w:rPr>
          <w:rStyle w:val="FootnoteReference"/>
        </w:rPr>
        <w:footnoteReference w:id="87"/>
      </w:r>
      <w:r>
        <w:t xml:space="preserve">.</w:t>
      </w:r>
    </w:p>
    <w:bookmarkEnd w:id="88"/>
    <w:bookmarkStart w:id="94" w:name="ken-griffins-2008-interviews-interviews"/>
    <w:p>
      <w:pPr>
        <w:pStyle w:val="Heading3"/>
      </w:pPr>
      <w:r>
        <w:t xml:space="preserve">Ken Griffin’s 2008 interviews (interviews)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Content type</w:t>
      </w:r>
      <w:r>
        <w:t xml:space="preserve">: Interviews</w:t>
      </w:r>
      <w:r>
        <w:t xml:space="preserve"> </w:t>
      </w:r>
      <w:r>
        <w:rPr>
          <w:rStyle w:val="FootnoteReference"/>
        </w:rPr>
        <w:footnoteReference w:id="89"/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Author/creator</w:t>
      </w:r>
      <w:r>
        <w:t xml:space="preserve">: Ken Griffin</w:t>
      </w:r>
      <w:r>
        <w:t xml:space="preserve"> </w:t>
      </w:r>
      <w:r>
        <w:rPr>
          <w:rStyle w:val="FootnoteReference"/>
        </w:rPr>
        <w:footnoteReference w:id="90"/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Who recommended it</w:t>
      </w:r>
      <w:r>
        <w:t xml:space="preserve">: Dan Sundheim</w:t>
      </w:r>
      <w:r>
        <w:t xml:space="preserve"> </w:t>
      </w:r>
      <w:r>
        <w:rPr>
          <w:rStyle w:val="FootnoteReference"/>
        </w:rPr>
        <w:footnoteReference w:id="91"/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Sundheim found it helpful (and</w:t>
      </w:r>
      <w:r>
        <w:t xml:space="preserve"> </w:t>
      </w:r>
      <w:r>
        <w:t xml:space="preserve">“</w:t>
      </w:r>
      <w:r>
        <w:t xml:space="preserve">lonely</w:t>
      </w:r>
      <w:r>
        <w:t xml:space="preserve">”</w:t>
      </w:r>
      <w:r>
        <w:t xml:space="preserve">) to go back and read/listen to Griffin’s 2008 interviews and others he respected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Why it matters</w:t>
      </w:r>
      <w:r>
        <w:t xml:space="preserve">: Offered as an</w:t>
      </w:r>
      <w:r>
        <w:t xml:space="preserve"> </w:t>
      </w:r>
      <w:r>
        <w:t xml:space="preserve">“</w:t>
      </w:r>
      <w:r>
        <w:t xml:space="preserve">in-the-arena</w:t>
      </w:r>
      <w:r>
        <w:t xml:space="preserve">”</w:t>
      </w:r>
      <w:r>
        <w:t xml:space="preserve"> </w:t>
      </w:r>
      <w:r>
        <w:t xml:space="preserve">reference point for thinking and emotional steadiness during stressful drawdowns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136" w:name="X6b7f276d3d6ef746a9747dbc0f7c65250d30048"/>
    <w:p>
      <w:pPr>
        <w:pStyle w:val="Heading2"/>
      </w:pPr>
      <w:r>
        <w:t xml:space="preserve">Creativity + spirituality: a builder’s reading list from a deep-tech founder</w:t>
      </w:r>
    </w:p>
    <w:bookmarkStart w:id="135" w:name="X435bfd4986364291b00522cd4f8d98c78fa9ca0"/>
    <w:p>
      <w:pPr>
        <w:pStyle w:val="Heading3"/>
      </w:pPr>
      <w:r>
        <w:t xml:space="preserve">Reading list shared by Eve Bodnia (Logical Intelligence)</w:t>
      </w:r>
    </w:p>
    <w:p>
      <w:pPr>
        <w:pStyle w:val="FirstParagraph"/>
      </w:pPr>
      <w:r>
        <w:t xml:space="preserve">Bodnia shared resources that relate to</w:t>
      </w:r>
      <w:r>
        <w:t xml:space="preserve"> </w:t>
      </w:r>
      <w:r>
        <w:t xml:space="preserve">“</w:t>
      </w:r>
      <w:r>
        <w:t xml:space="preserve">how meditation, piano, and Eastern philosophy support her creative process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 </w:t>
      </w:r>
      <w:r>
        <w:t xml:space="preserve">and themes of</w:t>
      </w:r>
      <w:r>
        <w:t xml:space="preserve"> </w:t>
      </w:r>
      <w:r>
        <w:t xml:space="preserve">“</w:t>
      </w:r>
      <w:r>
        <w:t xml:space="preserve">spirituality and creativity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8"/>
      </w:r>
      <w:r>
        <w:t xml:space="preserve">, including what helps her</w:t>
      </w:r>
      <w:r>
        <w:t xml:space="preserve"> </w:t>
      </w:r>
      <w:r>
        <w:t xml:space="preserve">“</w:t>
      </w:r>
      <w:r>
        <w:t xml:space="preserve">sustain[] her creativity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</w:t>
      </w:r>
    </w:p>
    <w:bookmarkStart w:id="106" w:name="X68a7fe3f1ff6cba0bc13d4b844c11d380a209e4"/>
    <w:p>
      <w:pPr>
        <w:pStyle w:val="Heading4"/>
      </w:pPr>
      <w:r>
        <w:rPr>
          <w:iCs/>
          <w:i/>
        </w:rPr>
        <w:t xml:space="preserve">The Creative Act: A Way of Being</w:t>
      </w:r>
      <w:r>
        <w:t xml:space="preserve"> </w:t>
      </w:r>
      <w:r>
        <w:t xml:space="preserve">(book) — Rick Rubin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00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Author/creator</w:t>
      </w:r>
      <w:r>
        <w:t xml:space="preserve">: Rick Rubin</w:t>
      </w:r>
      <w:r>
        <w:t xml:space="preserve"> </w:t>
      </w:r>
      <w:r>
        <w:rPr>
          <w:rStyle w:val="FootnoteReference"/>
        </w:rPr>
        <w:footnoteReference w:id="101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Link/URL</w:t>
      </w:r>
      <w:r>
        <w:t xml:space="preserve">: https://www.amazon.com/Creative-Act-Way-Being/dp/0593652886</w:t>
      </w:r>
      <w:r>
        <w:t xml:space="preserve"> </w:t>
      </w:r>
      <w:r>
        <w:rPr>
          <w:rStyle w:val="FootnoteReference"/>
        </w:rPr>
        <w:footnoteReference w:id="102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Who recommended it</w:t>
      </w:r>
      <w:r>
        <w:t xml:space="preserve">: Eve Bodnia</w:t>
      </w:r>
      <w:r>
        <w:t xml:space="preserve"> </w:t>
      </w:r>
      <w:r>
        <w:rPr>
          <w:rStyle w:val="FootnoteReference"/>
        </w:rPr>
        <w:footnoteReference w:id="103"/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Included as part of her creativity-supporting reading list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Why it matters</w:t>
      </w:r>
      <w:r>
        <w:t xml:space="preserve">: Flagged by a technical founder as relevant to maintaining a creative practice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bookmarkEnd w:id="106"/>
    <w:bookmarkStart w:id="113" w:name="X57e6f6fd280ab959f40c7ca6f54c8bc689086a6"/>
    <w:p>
      <w:pPr>
        <w:pStyle w:val="Heading4"/>
      </w:pPr>
      <w:r>
        <w:rPr>
          <w:iCs/>
          <w:i/>
        </w:rPr>
        <w:t xml:space="preserve">Impro: Improvisation and the Theatre</w:t>
      </w:r>
      <w:r>
        <w:t xml:space="preserve"> </w:t>
      </w:r>
      <w:r>
        <w:t xml:space="preserve">(book) — Keith Johnstone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07"/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Author/creator</w:t>
      </w:r>
      <w:r>
        <w:t xml:space="preserve">: Keith Johnstone</w:t>
      </w:r>
      <w:r>
        <w:t xml:space="preserve"> </w:t>
      </w:r>
      <w:r>
        <w:rPr>
          <w:rStyle w:val="FootnoteReference"/>
        </w:rPr>
        <w:footnoteReference w:id="108"/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Link/URL</w:t>
      </w:r>
      <w:r>
        <w:t xml:space="preserve">: https://www.amazon.com/Impro-Improvisation-Theatre-Keith-Johnstone/dp/0878301178</w:t>
      </w:r>
      <w:r>
        <w:t xml:space="preserve"> </w:t>
      </w:r>
      <w:r>
        <w:rPr>
          <w:rStyle w:val="FootnoteReference"/>
        </w:rPr>
        <w:footnoteReference w:id="109"/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Who recommended it</w:t>
      </w:r>
      <w:r>
        <w:t xml:space="preserve">: Eve Bodnia</w:t>
      </w:r>
      <w:r>
        <w:t xml:space="preserve"> </w:t>
      </w:r>
      <w:r>
        <w:rPr>
          <w:rStyle w:val="FootnoteReference"/>
        </w:rPr>
        <w:footnoteReference w:id="110"/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Included in her creative-process reading list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Why it matters</w:t>
      </w:r>
      <w:r>
        <w:t xml:space="preserve">: Points to improvisation as an input to sustaining creative output</w:t>
      </w:r>
      <w:r>
        <w:t xml:space="preserve"> </w:t>
      </w:r>
      <w:r>
        <w:rPr>
          <w:rStyle w:val="FootnoteReference"/>
        </w:rPr>
        <w:footnoteReference w:id="112"/>
      </w:r>
      <w:r>
        <w:t xml:space="preserve">.</w:t>
      </w:r>
    </w:p>
    <w:bookmarkEnd w:id="113"/>
    <w:bookmarkStart w:id="119" w:name="X33e5affd7c4edaeeb8efab45cfc752d85a32493"/>
    <w:p>
      <w:pPr>
        <w:pStyle w:val="Heading4"/>
      </w:pPr>
      <w:r>
        <w:rPr>
          <w:iCs/>
          <w:i/>
        </w:rPr>
        <w:t xml:space="preserve">Perfectly Reasonable Deviations from the Beaten Track</w:t>
      </w:r>
      <w:r>
        <w:t xml:space="preserve"> </w:t>
      </w:r>
      <w:r>
        <w:t xml:space="preserve">(book; Feynman letters)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14"/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Link/URL</w:t>
      </w:r>
      <w:r>
        <w:t xml:space="preserve">: https://www.amazon.com/Perfectly-Reasonable-Deviations-Beaten-Track/dp/0465023711</w:t>
      </w:r>
      <w:r>
        <w:t xml:space="preserve"> </w:t>
      </w:r>
      <w:r>
        <w:rPr>
          <w:rStyle w:val="FootnoteReference"/>
        </w:rPr>
        <w:footnoteReference w:id="115"/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Who recommended it</w:t>
      </w:r>
      <w:r>
        <w:t xml:space="preserve">: Eve Bodnia</w:t>
      </w:r>
      <w:r>
        <w:t xml:space="preserve"> </w:t>
      </w:r>
      <w:r>
        <w:rPr>
          <w:rStyle w:val="FootnoteReference"/>
        </w:rPr>
        <w:footnoteReference w:id="116"/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Listed alongside a discussion of</w:t>
      </w:r>
      <w:r>
        <w:t xml:space="preserve"> </w:t>
      </w:r>
      <w:r>
        <w:t xml:space="preserve">“</w:t>
      </w:r>
      <w:r>
        <w:t xml:space="preserve">Feynman’s influence on Eve’s work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Why it matters</w:t>
      </w:r>
      <w:r>
        <w:t xml:space="preserve">: Offered as a direct influence on how she thinks about her work</w:t>
      </w:r>
      <w:r>
        <w:t xml:space="preserve"> </w:t>
      </w:r>
      <w:r>
        <w:rPr>
          <w:rStyle w:val="FootnoteReference"/>
        </w:rPr>
        <w:footnoteReference w:id="118"/>
      </w:r>
      <w:r>
        <w:t xml:space="preserve">.</w:t>
      </w:r>
    </w:p>
    <w:bookmarkEnd w:id="119"/>
    <w:bookmarkStart w:id="127" w:name="X6cbd3d1cb88a0f8a137d045b7023bf83836869f"/>
    <w:p>
      <w:pPr>
        <w:pStyle w:val="Heading4"/>
      </w:pPr>
      <w:r>
        <w:rPr>
          <w:iCs/>
          <w:i/>
        </w:rPr>
        <w:t xml:space="preserve">Letting Go: The Pathway of Surrender</w:t>
      </w:r>
      <w:r>
        <w:t xml:space="preserve"> </w:t>
      </w:r>
      <w:r>
        <w:t xml:space="preserve">(book) — David R. Hawkins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20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Author/creator</w:t>
      </w:r>
      <w:r>
        <w:t xml:space="preserve">: David R. Hawkins</w:t>
      </w:r>
      <w:r>
        <w:t xml:space="preserve"> </w:t>
      </w:r>
      <w:r>
        <w:rPr>
          <w:rStyle w:val="FootnoteReference"/>
        </w:rPr>
        <w:footnoteReference w:id="121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Link/URL</w:t>
      </w:r>
      <w:r>
        <w:t xml:space="preserve">: https://www.amazon.com/Letting-David-Hawkins-M-D-Ph-D/dp/1401945015</w:t>
      </w:r>
      <w:r>
        <w:t xml:space="preserve"> </w:t>
      </w:r>
      <w:r>
        <w:rPr>
          <w:rStyle w:val="FootnoteReference"/>
        </w:rPr>
        <w:footnoteReference w:id="122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Who recommended it</w:t>
      </w:r>
      <w:r>
        <w:t xml:space="preserve">: Eve Bodnia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4"/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Included in her spirituality/creativity-adjacent list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Why it matters</w:t>
      </w:r>
      <w:r>
        <w:t xml:space="preserve">: Included specifically in the context of spirituality and creativity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bookmarkEnd w:id="127"/>
    <w:bookmarkStart w:id="134" w:name="Xcf2aeae34957461ba625befb11cfac797d92c08"/>
    <w:p>
      <w:pPr>
        <w:pStyle w:val="Heading4"/>
      </w:pPr>
      <w:r>
        <w:t xml:space="preserve">“</w:t>
      </w:r>
      <w:r>
        <w:t xml:space="preserve">The Kekulé Problem</w:t>
      </w:r>
      <w:r>
        <w:t xml:space="preserve">”</w:t>
      </w:r>
      <w:r>
        <w:t xml:space="preserve"> </w:t>
      </w:r>
      <w:r>
        <w:t xml:space="preserve">(article) — Cormac McCarthy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Content type</w:t>
      </w:r>
      <w:r>
        <w:t xml:space="preserve">: Article</w:t>
      </w:r>
      <w:r>
        <w:t xml:space="preserve"> </w:t>
      </w:r>
      <w:r>
        <w:rPr>
          <w:rStyle w:val="FootnoteReference"/>
        </w:rPr>
        <w:footnoteReference w:id="128"/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Author/creator</w:t>
      </w:r>
      <w:r>
        <w:t xml:space="preserve">: Cormac McCarthy</w:t>
      </w:r>
      <w:r>
        <w:t xml:space="preserve"> </w:t>
      </w:r>
      <w:r>
        <w:rPr>
          <w:rStyle w:val="FootnoteReference"/>
        </w:rPr>
        <w:footnoteReference w:id="129"/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Link/URL</w:t>
      </w:r>
      <w:r>
        <w:t xml:space="preserve">: https://nautil.us/the-kekul-problem-236574</w:t>
      </w:r>
      <w:r>
        <w:t xml:space="preserve"> </w:t>
      </w:r>
      <w:r>
        <w:rPr>
          <w:rStyle w:val="FootnoteReference"/>
        </w:rPr>
        <w:footnoteReference w:id="130"/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Who recommended it</w:t>
      </w:r>
      <w:r>
        <w:t xml:space="preserve">: Eve Bodnia</w:t>
      </w:r>
      <w:r>
        <w:t xml:space="preserve"> </w:t>
      </w:r>
      <w:r>
        <w:rPr>
          <w:rStyle w:val="FootnoteReference"/>
        </w:rPr>
        <w:footnoteReference w:id="131"/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Included as a referenced reading item in her list</w:t>
      </w:r>
      <w:r>
        <w:t xml:space="preserve"> </w:t>
      </w:r>
      <w:r>
        <w:rPr>
          <w:rStyle w:val="FootnoteReference"/>
        </w:rPr>
        <w:footnoteReference w:id="132"/>
      </w:r>
      <w:r>
        <w:t xml:space="preserve">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Why it matters</w:t>
      </w:r>
      <w:r>
        <w:t xml:space="preserve">: A non-technical reading suggestion surfaced in a discussion about creativity and sustaining creative work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4"/>
    <w:bookmarkEnd w:id="135"/>
    <w:bookmarkEnd w:id="136"/>
    <w:bookmarkStart w:id="154" w:name="X9added77bcf36fa37545dc0a1db684aebc23da0"/>
    <w:p>
      <w:pPr>
        <w:pStyle w:val="Heading2"/>
      </w:pPr>
      <w:r>
        <w:t xml:space="preserve">Practical personal operating system: communication, food heuristics, and prioritization</w:t>
      </w:r>
    </w:p>
    <w:bookmarkStart w:id="142" w:name="X4bb4ba0929e56f6e1f73f921327a00565ca115a"/>
    <w:p>
      <w:pPr>
        <w:pStyle w:val="Heading3"/>
      </w:pPr>
      <w:r>
        <w:rPr>
          <w:iCs/>
          <w:i/>
        </w:rPr>
        <w:t xml:space="preserve">Nonviolent Communication</w:t>
      </w:r>
      <w:r>
        <w:t xml:space="preserve"> </w:t>
      </w:r>
      <w:r>
        <w:t xml:space="preserve">(book) — Marshall Rosenberg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37"/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Who recommended it</w:t>
      </w:r>
      <w:r>
        <w:t xml:space="preserve">: Tim Ferriss (YouTube interview)</w:t>
      </w:r>
      <w:r>
        <w:t xml:space="preserve"> </w:t>
      </w:r>
      <w:r>
        <w:rPr>
          <w:rStyle w:val="FootnoteReference"/>
        </w:rPr>
        <w:footnoteReference w:id="139"/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Ferriss recommends it to</w:t>
      </w:r>
      <w:r>
        <w:t xml:space="preserve"> </w:t>
      </w:r>
      <w:r>
        <w:t xml:space="preserve">“</w:t>
      </w:r>
      <w:r>
        <w:t xml:space="preserve">figure out how to talk to people without sounding overly defensive or aggressive,</w:t>
      </w:r>
      <w:r>
        <w:t xml:space="preserve">”</w:t>
      </w:r>
      <w:r>
        <w:t xml:space="preserve"> </w:t>
      </w:r>
      <w:r>
        <w:t xml:space="preserve">and frames communication as the</w:t>
      </w:r>
      <w:r>
        <w:t xml:space="preserve"> </w:t>
      </w:r>
      <w:r>
        <w:t xml:space="preserve">“</w:t>
      </w:r>
      <w:r>
        <w:t xml:space="preserve">connective tissue for everything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Why it matters</w:t>
      </w:r>
      <w:r>
        <w:t xml:space="preserve">: Recommended as foundational skill-building, not a niche tactic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bookmarkEnd w:id="142"/>
    <w:bookmarkStart w:id="148" w:name="food-rules-book-michael-pollan"/>
    <w:p>
      <w:pPr>
        <w:pStyle w:val="Heading3"/>
      </w:pPr>
      <w:r>
        <w:rPr>
          <w:iCs/>
          <w:i/>
        </w:rPr>
        <w:t xml:space="preserve">Food Rules</w:t>
      </w:r>
      <w:r>
        <w:t xml:space="preserve"> </w:t>
      </w:r>
      <w:r>
        <w:t xml:space="preserve">(book) — Michael Pollan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43"/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Author/creator</w:t>
      </w:r>
      <w:r>
        <w:t xml:space="preserve">: Michael Pollan</w:t>
      </w:r>
      <w:r>
        <w:t xml:space="preserve"> </w:t>
      </w:r>
      <w:r>
        <w:rPr>
          <w:rStyle w:val="FootnoteReference"/>
        </w:rPr>
        <w:footnoteReference w:id="144"/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Who recommended it</w:t>
      </w:r>
      <w:r>
        <w:t xml:space="preserve">: Tim Ferriss</w:t>
      </w:r>
      <w:r>
        <w:t xml:space="preserve"> </w:t>
      </w:r>
      <w:r>
        <w:rPr>
          <w:rStyle w:val="FootnoteReference"/>
        </w:rPr>
        <w:footnoteReference w:id="145"/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</w:t>
      </w:r>
      <w:r>
        <w:t xml:space="preserve"> </w:t>
      </w:r>
      <w:r>
        <w:t xml:space="preserve">“</w:t>
      </w:r>
      <w:r>
        <w:t xml:space="preserve">If your grandmother wouldn’t recognize the ingredients, don’t eat it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Why it matters</w:t>
      </w:r>
      <w:r>
        <w:t xml:space="preserve">: Shared as a simple, memorable rule for avoiding processed foods</w:t>
      </w:r>
      <w:r>
        <w:t xml:space="preserve"> </w:t>
      </w:r>
      <w:r>
        <w:rPr>
          <w:rStyle w:val="FootnoteReference"/>
        </w:rPr>
        <w:footnoteReference w:id="147"/>
      </w:r>
      <w:r>
        <w:t xml:space="preserve">.</w:t>
      </w:r>
    </w:p>
    <w:bookmarkEnd w:id="148"/>
    <w:bookmarkStart w:id="153" w:name="X8662ff71e2d82f3abc9cf759c1ab7efdda34d3c"/>
    <w:p>
      <w:pPr>
        <w:pStyle w:val="Heading3"/>
      </w:pPr>
      <w:r>
        <w:rPr>
          <w:iCs/>
          <w:i/>
        </w:rPr>
        <w:t xml:space="preserve">The 7 Habits of Highly Effective People</w:t>
      </w:r>
      <w:r>
        <w:t xml:space="preserve"> </w:t>
      </w:r>
      <w:r>
        <w:t xml:space="preserve">(book) — Stephen Covey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49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Who recommended it</w:t>
      </w:r>
      <w:r>
        <w:t xml:space="preserve">: Tim Ferriss (as the source of a prioritization story)</w:t>
      </w:r>
      <w:r>
        <w:t xml:space="preserve"> </w:t>
      </w:r>
      <w:r>
        <w:rPr>
          <w:rStyle w:val="FootnoteReference"/>
        </w:rPr>
        <w:footnoteReference w:id="150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The mason-jar analogy—put the</w:t>
      </w:r>
      <w:r>
        <w:t xml:space="preserve"> </w:t>
      </w:r>
      <w:r>
        <w:t xml:space="preserve">“</w:t>
      </w:r>
      <w:r>
        <w:t xml:space="preserve">big rocks</w:t>
      </w:r>
      <w:r>
        <w:t xml:space="preserve">”</w:t>
      </w:r>
      <w:r>
        <w:t xml:space="preserve"> </w:t>
      </w:r>
      <w:r>
        <w:t xml:space="preserve">(life-changing yeses) in first, then gravel, then sand (distractions), because scheduling distractions first crowds out what matters</w:t>
      </w:r>
      <w:r>
        <w:t xml:space="preserve"> </w:t>
      </w:r>
      <w:r>
        <w:rPr>
          <w:rStyle w:val="FootnoteReference"/>
        </w:rPr>
        <w:footnoteReference w:id="151"/>
      </w:r>
      <w:r>
        <w:t xml:space="preserve">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Why it matters</w:t>
      </w:r>
      <w:r>
        <w:t xml:space="preserve">: A concrete prioritization model for protecting the few commitments that actually move your life forward</w:t>
      </w:r>
      <w:r>
        <w:t xml:space="preserve"> </w:t>
      </w:r>
      <w:r>
        <w:rPr>
          <w:rStyle w:val="FootnoteReference"/>
        </w:rPr>
        <w:footnoteReference w:id="15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53"/>
    <w:bookmarkEnd w:id="154"/>
    <w:bookmarkStart w:id="163" w:name="Xd45fe1a2eddbdcb4da3da9139cfbd6c411ef8a7"/>
    <w:p>
      <w:pPr>
        <w:pStyle w:val="Heading2"/>
      </w:pPr>
      <w:r>
        <w:t xml:space="preserve">A sci-fi lens for technology’s uneven rollout</w:t>
      </w:r>
    </w:p>
    <w:bookmarkStart w:id="161" w:name="neuromancer-book-william-gibson"/>
    <w:p>
      <w:pPr>
        <w:pStyle w:val="Heading3"/>
      </w:pPr>
      <w:r>
        <w:rPr>
          <w:iCs/>
          <w:i/>
        </w:rPr>
        <w:t xml:space="preserve">Neuromancer</w:t>
      </w:r>
      <w:r>
        <w:t xml:space="preserve"> </w:t>
      </w:r>
      <w:r>
        <w:t xml:space="preserve">(book) — William Gibson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155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Author/creator</w:t>
      </w:r>
      <w:r>
        <w:t xml:space="preserve">: William Gibson</w:t>
      </w:r>
      <w:r>
        <w:t xml:space="preserve"> </w:t>
      </w:r>
      <w:r>
        <w:rPr>
          <w:rStyle w:val="FootnoteReference"/>
        </w:rPr>
        <w:footnoteReference w:id="157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Link/URL</w:t>
      </w:r>
      <w:r>
        <w:t xml:space="preserve">: Not provided in the source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Who recommended it</w:t>
      </w:r>
      <w:r>
        <w:t xml:space="preserve">: Reid Hoffman</w:t>
      </w:r>
      <w:r>
        <w:t xml:space="preserve"> </w:t>
      </w:r>
      <w:r>
        <w:rPr>
          <w:rStyle w:val="FootnoteReference"/>
        </w:rPr>
        <w:footnoteReference w:id="158"/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Hoffman cites Gibson (one of his favorite sci-fi authors) and highlights the line:</w:t>
      </w:r>
      <w:r>
        <w:t xml:space="preserve"> </w:t>
      </w:r>
      <w:r>
        <w:t xml:space="preserve">“</w:t>
      </w:r>
      <w:r>
        <w:t xml:space="preserve">the future is already here. It’s just unevenly distributed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59"/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Why it matters</w:t>
      </w:r>
      <w:r>
        <w:t xml:space="preserve">: Offered as a compact framing for thinking about uneven adoption and impact (raised in the context of AI rollout)</w:t>
      </w:r>
      <w:r>
        <w:t xml:space="preserve"> </w:t>
      </w:r>
      <w:r>
        <w:rPr>
          <w:rStyle w:val="FootnoteReference"/>
        </w:rPr>
        <w:footnoteReference w:id="16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1"/>
    <w:bookmarkStart w:id="16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1"/>
        </w:numPr>
        <w:pStyle w:val="Compact"/>
      </w:pPr>
      <w:hyperlink r:id="rId21">
        <w:r>
          <w:rPr>
            <w:rStyle w:val="Hyperlink"/>
          </w:rPr>
          <w:t xml:space="preserve">[Outliers] Phil Knight: The Obsession That Built Nike</w:t>
        </w:r>
      </w:hyperlink>
    </w:p>
    <w:p>
      <w:pPr>
        <w:numPr>
          <w:ilvl w:val="0"/>
          <w:numId w:val="102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  <w:p>
      <w:pPr>
        <w:numPr>
          <w:ilvl w:val="0"/>
          <w:numId w:val="102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  <w:p>
      <w:pPr>
        <w:numPr>
          <w:ilvl w:val="0"/>
          <w:numId w:val="1021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  <w:p>
      <w:pPr>
        <w:numPr>
          <w:ilvl w:val="0"/>
          <w:numId w:val="1021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@ccatalini</w:t>
        </w:r>
      </w:hyperlink>
    </w:p>
    <w:p>
      <w:pPr>
        <w:numPr>
          <w:ilvl w:val="0"/>
          <w:numId w:val="1021"/>
        </w:numPr>
        <w:pStyle w:val="Compact"/>
      </w:pP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  <w:p>
      <w:pPr>
        <w:numPr>
          <w:ilvl w:val="0"/>
          <w:numId w:val="1021"/>
        </w:numPr>
        <w:pStyle w:val="Compact"/>
      </w:pP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  <w:p>
      <w:pPr>
        <w:numPr>
          <w:ilvl w:val="0"/>
          <w:numId w:val="1021"/>
        </w:numPr>
        <w:pStyle w:val="Compact"/>
      </w:pP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  <w:p>
      <w:pPr>
        <w:numPr>
          <w:ilvl w:val="0"/>
          <w:numId w:val="1021"/>
        </w:numPr>
        <w:pStyle w:val="Compact"/>
      </w:pPr>
      <w:hyperlink r:id="rId156">
        <w:r>
          <w:rPr>
            <w:rStyle w:val="Hyperlink"/>
          </w:rPr>
          <w:t xml:space="preserve">Reid Hoffman - Co-founder of LinkedIn | Podcast | In Good Company</w:t>
        </w:r>
      </w:hyperlink>
    </w:p>
    <w:bookmarkEnd w:id="162"/>
    <w:bookmarkEnd w:id="163"/>
    <w:bookmarkEnd w:id="1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[Outliers] Phil Knight: The Obsession That Built Nike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@ccatalini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@ccatalini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@scottbelsky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Inside Dan Sundheim’s Bets on Anthropic, OpenAI, and SpaceX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Everyone Is Betting on Bigger LLMs. She’s Betting They’re Fundamentally Wrong. (Eve Bodnia, Founder &amp; CEO of Logical Intelligence)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How to Quiet the Ruminative Mind and Avoid The Traps of Self-Help — Tim Ferriss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Reid Hoffman - Co-founder of LinkedIn | Podcast | In Good Company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Reid Hoffman - Co-founder of LinkedIn | Podcast | In Good Company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Reid Hoffman - Co-founder of LinkedIn | Podcast | In Good Company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Reid Hoffman - Co-founder of LinkedIn | Podcast | In Good Company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6">
        <w:r>
          <w:rPr>
            <w:rStyle w:val="Hyperlink"/>
          </w:rPr>
          <w:t xml:space="preserve">Reid Hoffman - Co-founder of LinkedIn | Podcast | In Good Company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jpg" /><Relationship Type="http://schemas.openxmlformats.org/officeDocument/2006/relationships/hyperlink" Id="rId97" Target="https://www.generalist.com/p/everyone-is-betting-on-bigger-llms" TargetMode="External" /><Relationship Type="http://schemas.openxmlformats.org/officeDocument/2006/relationships/hyperlink" Id="rId156" Target="https://www.youtube.com/watch?v=Qy7L6XbaKio" TargetMode="External" /><Relationship Type="http://schemas.openxmlformats.org/officeDocument/2006/relationships/hyperlink" Id="rId21" Target="https://www.youtube.com/watch?v=eqRHzf41JMU" TargetMode="External" /><Relationship Type="http://schemas.openxmlformats.org/officeDocument/2006/relationships/hyperlink" Id="rId72" Target="https://www.youtube.com/watch?v=mBtmTmCC0ZM" TargetMode="External" /><Relationship Type="http://schemas.openxmlformats.org/officeDocument/2006/relationships/hyperlink" Id="rId138" Target="https://www.youtube.com/watch?v=qOUnBaeTUOY" TargetMode="External" /><Relationship Type="http://schemas.openxmlformats.org/officeDocument/2006/relationships/hyperlink" Id="rId66" Target="https://x.com/ccatalini/status/2026311839089631468" TargetMode="External" /><Relationship Type="http://schemas.openxmlformats.org/officeDocument/2006/relationships/hyperlink" Id="rId60" Target="https://x.com/scottbelsky/status/2026421741988290990" TargetMode="External" /><Relationship Type="http://schemas.openxmlformats.org/officeDocument/2006/relationships/hyperlink" Id="rId47" Target="https://x.com/tfadell/status/2026413620989706700" TargetMode="External" /><Relationship Type="http://schemas.openxmlformats.org/officeDocument/2006/relationships/hyperlink" Id="rId43" Target="https://x.com/tferriss/status/2026356403225456768" TargetMode="External" /><Relationship Type="http://schemas.openxmlformats.org/officeDocument/2006/relationships/hyperlink" Id="rId39" Target="https://youtube.com/watch?v=eqRHzf41JMU&amp;t=47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7" Target="https://www.generalist.com/p/everyone-is-betting-on-bigger-llms" TargetMode="External" /><Relationship Type="http://schemas.openxmlformats.org/officeDocument/2006/relationships/hyperlink" Id="rId156" Target="https://www.youtube.com/watch?v=Qy7L6XbaKio" TargetMode="External" /><Relationship Type="http://schemas.openxmlformats.org/officeDocument/2006/relationships/hyperlink" Id="rId21" Target="https://www.youtube.com/watch?v=eqRHzf41JMU" TargetMode="External" /><Relationship Type="http://schemas.openxmlformats.org/officeDocument/2006/relationships/hyperlink" Id="rId72" Target="https://www.youtube.com/watch?v=mBtmTmCC0ZM" TargetMode="External" /><Relationship Type="http://schemas.openxmlformats.org/officeDocument/2006/relationships/hyperlink" Id="rId138" Target="https://www.youtube.com/watch?v=qOUnBaeTUOY" TargetMode="External" /><Relationship Type="http://schemas.openxmlformats.org/officeDocument/2006/relationships/hyperlink" Id="rId66" Target="https://x.com/ccatalini/status/2026311839089631468" TargetMode="External" /><Relationship Type="http://schemas.openxmlformats.org/officeDocument/2006/relationships/hyperlink" Id="rId60" Target="https://x.com/scottbelsky/status/2026421741988290990" TargetMode="External" /><Relationship Type="http://schemas.openxmlformats.org/officeDocument/2006/relationships/hyperlink" Id="rId47" Target="https://x.com/tfadell/status/2026413620989706700" TargetMode="External" /><Relationship Type="http://schemas.openxmlformats.org/officeDocument/2006/relationships/hyperlink" Id="rId43" Target="https://x.com/tferriss/status/2026356403225456768" TargetMode="External" /><Relationship Type="http://schemas.openxmlformats.org/officeDocument/2006/relationships/hyperlink" Id="rId39" Target="https://youtube.com/watch?v=eqRHzf41JMU&amp;t=47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Dog distilled into operating principles, plus trending career reading and the rise of “verifiers”</dc:title>
  <dc:creator>Recommended Reading from Tech Founders</dc:creator>
  <cp:keywords/>
  <dcterms:created xsi:type="dcterms:W3CDTF">2026-02-25T22:38:36Z</dcterms:created>
  <dcterms:modified xsi:type="dcterms:W3CDTF">2026-02-25T22:38:36Z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2026-02-25</vt:lpwstr>
  </property>
</Properties>
</file>