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South Africa’s Merchant Rails Deepen as Kenya, Nigeria, and El Salvador Extend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2026-03-25</w:t>
      </w:r>
    </w:p>
    <w:bookmarkStart w:id="53" w:name="Xc7e569a1ba17417fc36603f65e85d2c7ca1b02a"/>
    <w:p>
      <w:pPr>
        <w:pStyle w:val="Heading1"/>
      </w:pPr>
      <w:r>
        <w:t xml:space="preserve">South Africa’s Merchant Rails Deepen as Kenya, Nigeria, and El Salvador Extend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March 25, 2026</w:t>
      </w:r>
    </w:p>
    <w:p>
      <w:pPr>
        <w:pStyle w:val="BodyText"/>
      </w:pPr>
      <w:r>
        <w:t xml:space="preserve">Payment momentum in the cited materials centers on South African PSP and invoicing integrations, NFC-based school payments in El Salvador, and fee-sensitive Lightning use cases in Kenya. Nigeria and rural/community examples add evidence of merchant-to-merchant and circular spending, while no new payment-specific regulatory changes were cited.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d5a045606bbca6bc9ed87a5ec2d67fb5818219c"/>
    <w:p>
      <w:pPr>
        <w:pStyle w:val="Heading3"/>
      </w:pPr>
      <w:r>
        <w:t xml:space="preserve">South Africa — Bitcoin acceptance is being routed through mainstream merchant and invoicing rails</w:t>
      </w:r>
    </w:p>
    <w:p>
      <w:pPr>
        <w:pStyle w:val="FirstParagraph"/>
      </w:pPr>
      <w:r>
        <w:t xml:space="preserve">MoneyBadger says customers can use</w:t>
      </w:r>
      <w:r>
        <w:t xml:space="preserve"> </w:t>
      </w:r>
      <w:r>
        <w:rPr>
          <w:bCs/>
          <w:b/>
        </w:rPr>
        <w:t xml:space="preserve">VALR Pay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ZapperTM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Scan to Pay</w:t>
      </w:r>
      <w:r>
        <w:t xml:space="preserve"> </w:t>
      </w:r>
      <w:r>
        <w:t xml:space="preserve">merchants, as well as</w:t>
      </w:r>
      <w:r>
        <w:t xml:space="preserve"> </w:t>
      </w:r>
      <w:r>
        <w:rPr>
          <w:bCs/>
          <w:b/>
        </w:rPr>
        <w:t xml:space="preserve">PeachPayments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OzowPay</w:t>
      </w:r>
      <w:r>
        <w:t xml:space="preserve"> </w:t>
      </w:r>
      <w:r>
        <w:t xml:space="preserve">merchants that have activated Bitcoin payments, both</w:t>
      </w:r>
      <w:r>
        <w:t xml:space="preserve"> </w:t>
      </w:r>
      <w:r>
        <w:rPr>
          <w:bCs/>
          <w:b/>
        </w:rPr>
        <w:t xml:space="preserve">in-store and online</w:t>
      </w:r>
      <w:r>
        <w:t xml:space="preserve"> </w:t>
      </w:r>
      <w:r>
        <w:t xml:space="preserve">[1]. In a separate launch,</w:t>
      </w:r>
      <w:r>
        <w:t xml:space="preserve"> </w:t>
      </w:r>
      <w:r>
        <w:rPr>
          <w:bCs/>
          <w:b/>
        </w:rPr>
        <w:t xml:space="preserve">payinbtc_me</w:t>
      </w:r>
      <w:r>
        <w:t xml:space="preserve"> </w:t>
      </w:r>
      <w:r>
        <w:t xml:space="preserve">said merchants can add Bitcoin to invoices in</w:t>
      </w:r>
      <w:r>
        <w:t xml:space="preserve"> </w:t>
      </w:r>
      <w:r>
        <w:rPr>
          <w:bCs/>
          <w:b/>
        </w:rPr>
        <w:t xml:space="preserve">5 minutes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QuickBooks, Zoho, Xero</w:t>
      </w:r>
      <w:r>
        <w:t xml:space="preserve">, and similar tools while keeping existing workflows; the service supports MoneyBadger through partner PSPs [2, 3].</w:t>
      </w:r>
    </w:p>
    <w:p>
      <w:pPr>
        <w:pStyle w:val="BodyText"/>
      </w:pPr>
      <w:r>
        <w:t xml:space="preserve">Background in the cited South African materials says MoneyBadger’s broader integrations with</w:t>
      </w:r>
      <w:r>
        <w:t xml:space="preserve"> </w:t>
      </w:r>
      <w:r>
        <w:rPr>
          <w:bCs/>
          <w:b/>
        </w:rPr>
        <w:t xml:space="preserve">Yoyo, PeachPayments, Zapper, and Scan to Pay</w:t>
      </w:r>
      <w:r>
        <w:t xml:space="preserve"> </w:t>
      </w:r>
      <w:r>
        <w:t xml:space="preserve">enable Bitcoin payments at</w:t>
      </w:r>
      <w:r>
        <w:t xml:space="preserve"> </w:t>
      </w:r>
      <w:r>
        <w:rPr>
          <w:bCs/>
          <w:b/>
        </w:rPr>
        <w:t xml:space="preserve">hundreds of thousands of stores nationwide</w:t>
      </w:r>
      <w:r>
        <w:t xml:space="preserve">, including</w:t>
      </w:r>
      <w:r>
        <w:t xml:space="preserve"> </w:t>
      </w:r>
      <w:r>
        <w:rPr>
          <w:bCs/>
          <w:b/>
        </w:rPr>
        <w:t xml:space="preserve">Checkers, Engen, Makro, and Vodacom</w:t>
      </w:r>
      <w:r>
        <w:t xml:space="preserve">, and that</w:t>
      </w:r>
      <w:r>
        <w:t xml:space="preserve"> </w:t>
      </w:r>
      <w:r>
        <w:rPr>
          <w:bCs/>
          <w:b/>
        </w:rPr>
        <w:t xml:space="preserve">Pick ’n Pay</w:t>
      </w:r>
      <w:r>
        <w:t xml:space="preserve"> </w:t>
      </w:r>
      <w:r>
        <w:t xml:space="preserve">became the first major African retailer to accept Bitcoin through MoneyBadger [4].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rollout plugs Bitcoin acceptance into existing PSP networks and invoice workflows, lowering operational change for merchants already using those systems [1, 2].</w:t>
      </w:r>
    </w:p>
    <w:bookmarkEnd w:id="20"/>
    <w:bookmarkStart w:id="21" w:name="X84acee1f9af75b0861448ffe88bf79ba7bd7c89"/>
    <w:p>
      <w:pPr>
        <w:pStyle w:val="Heading3"/>
      </w:pPr>
      <w:r>
        <w:t xml:space="preserve">Berlín, El Salvador — school payments are adapting to a no-phone environment</w:t>
      </w:r>
    </w:p>
    <w:p>
      <w:pPr>
        <w:pStyle w:val="FirstParagraph"/>
      </w:pPr>
      <w:r>
        <w:t xml:space="preserve">High school students in</w:t>
      </w:r>
      <w:r>
        <w:t xml:space="preserve"> </w:t>
      </w:r>
      <w:r>
        <w:rPr>
          <w:bCs/>
          <w:b/>
        </w:rPr>
        <w:t xml:space="preserve">Berlín</w:t>
      </w:r>
      <w:r>
        <w:t xml:space="preserve"> </w:t>
      </w:r>
      <w:r>
        <w:t xml:space="preserve">use</w:t>
      </w:r>
      <w:r>
        <w:t xml:space="preserve"> </w:t>
      </w:r>
      <w:r>
        <w:rPr>
          <w:bCs/>
          <w:b/>
        </w:rPr>
        <w:t xml:space="preserve">NFC cards</w:t>
      </w:r>
      <w:r>
        <w:t xml:space="preserve"> </w:t>
      </w:r>
      <w:r>
        <w:t xml:space="preserve">to make Bitcoin payments at school because phones are not allowed [5]. The school merchant requested a</w:t>
      </w:r>
      <w:r>
        <w:t xml:space="preserve"> </w:t>
      </w:r>
      <w:r>
        <w:rPr>
          <w:bCs/>
          <w:b/>
        </w:rPr>
        <w:t xml:space="preserve">Bitcoin POS</w:t>
      </w:r>
      <w:r>
        <w:t xml:space="preserve"> </w:t>
      </w:r>
      <w:r>
        <w:t xml:space="preserve">to facilitate those payments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concrete example of Bitcoin payment infrastructure being adapted to a constrained everyday setting rather than a specialist or tourist context [5].</w:t>
      </w:r>
    </w:p>
    <w:bookmarkEnd w:id="21"/>
    <w:bookmarkStart w:id="22" w:name="X7818d095a4429946334a4551f84baff391fe514"/>
    <w:p>
      <w:pPr>
        <w:pStyle w:val="Heading3"/>
      </w:pPr>
      <w:r>
        <w:t xml:space="preserve">Ekiti State, Nigeria — merchant-to-merchant spending appears in everyday retail</w:t>
      </w:r>
    </w:p>
    <w:p>
      <w:pPr>
        <w:pStyle w:val="FirstParagraph"/>
      </w:pPr>
      <w:r>
        <w:t xml:space="preserve">BitcoinEkiti said</w:t>
      </w:r>
      <w:r>
        <w:t xml:space="preserve"> </w:t>
      </w:r>
      <w:r>
        <w:rPr>
          <w:bCs/>
          <w:b/>
        </w:rPr>
        <w:t xml:space="preserve">Tobias Ventures</w:t>
      </w:r>
      <w:r>
        <w:t xml:space="preserve"> </w:t>
      </w:r>
      <w:r>
        <w:t xml:space="preserve">used</w:t>
      </w:r>
      <w:r>
        <w:t xml:space="preserve"> </w:t>
      </w:r>
      <w:r>
        <w:rPr>
          <w:bCs/>
          <w:b/>
        </w:rPr>
        <w:t xml:space="preserve">sats as everyday money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merchant-to-merchant patronage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Ayoola Minimart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Ekiti State</w:t>
      </w:r>
      <w:r>
        <w:t xml:space="preserve"> </w:t>
      </w:r>
      <w:r>
        <w:t xml:space="preserve">[6]. The merchant is listed on</w:t>
      </w:r>
      <w:r>
        <w:t xml:space="preserve"> </w:t>
      </w:r>
      <w:r>
        <w:rPr>
          <w:bCs/>
          <w:b/>
        </w:rPr>
        <w:t xml:space="preserve">BTC Map</w:t>
      </w:r>
      <w:r>
        <w:t xml:space="preserve">, and the post associated the spend flow with</w:t>
      </w:r>
      <w:r>
        <w:t xml:space="preserve"> </w:t>
      </w:r>
      <w:r>
        <w:rPr>
          <w:bCs/>
          <w:b/>
        </w:rPr>
        <w:t xml:space="preserve">Blink.sv</w:t>
      </w:r>
      <w:r>
        <w:t xml:space="preserve"> </w:t>
      </w:r>
      <w:r>
        <w:t xml:space="preserve">/</w:t>
      </w:r>
      <w:r>
        <w:t xml:space="preserve"> </w:t>
      </w:r>
      <w:r>
        <w:rPr>
          <w:bCs/>
          <w:b/>
        </w:rPr>
        <w:t xml:space="preserve">#spedn</w:t>
      </w:r>
      <w:r>
        <w:t xml:space="preserve"> </w:t>
      </w:r>
      <w:r>
        <w:t xml:space="preserve">[6].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use case extends Bitcoin payments beyond consumer checkout into business-to-business retail transactions [6].</w:t>
      </w:r>
    </w:p>
    <w:bookmarkEnd w:id="22"/>
    <w:bookmarkEnd w:id="23"/>
    <w:bookmarkStart w:id="27" w:name="payment-infrastructure"/>
    <w:p>
      <w:pPr>
        <w:pStyle w:val="Heading2"/>
      </w:pPr>
      <w:r>
        <w:t xml:space="preserve">Payment Infrastructure</w:t>
      </w:r>
    </w:p>
    <w:bookmarkStart w:id="24" w:name="X1ce750ac5ef5db331c641da3fdda143f2f3f76c"/>
    <w:p>
      <w:pPr>
        <w:pStyle w:val="Heading3"/>
      </w:pPr>
      <w:r>
        <w:t xml:space="preserve">Global — BIP321 is being positioned as a unified QR layer</w:t>
      </w:r>
    </w:p>
    <w:p>
      <w:pPr>
        <w:pStyle w:val="FirstParagraph"/>
      </w:pPr>
      <w:r>
        <w:t xml:space="preserve">calle said</w:t>
      </w:r>
      <w:r>
        <w:t xml:space="preserve"> </w:t>
      </w:r>
      <w:r>
        <w:rPr>
          <w:bCs/>
          <w:b/>
        </w:rPr>
        <w:t xml:space="preserve">most Cashu wallets are implementing BIP321</w:t>
      </w:r>
      <w:r>
        <w:t xml:space="preserve">, describing it as</w:t>
      </w:r>
      <w:r>
        <w:t xml:space="preserve"> </w:t>
      </w:r>
      <w:r>
        <w:rPr>
          <w:bCs/>
          <w:b/>
        </w:rPr>
        <w:t xml:space="preserve">one unified QR standard</w:t>
      </w:r>
      <w:r>
        <w:t xml:space="preserve"> </w:t>
      </w:r>
      <w:r>
        <w:t xml:space="preserve">for different Bitcoin payment methods and a step toward</w:t>
      </w:r>
      <w:r>
        <w:t xml:space="preserve"> </w:t>
      </w:r>
      <w:r>
        <w:rPr>
          <w:bCs/>
          <w:b/>
        </w:rPr>
        <w:t xml:space="preserve">interoperability</w:t>
      </w:r>
      <w:r>
        <w:t xml:space="preserve"> </w:t>
      </w:r>
      <w:r>
        <w:t xml:space="preserve">[7].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cited goal is a simpler payment experience across wallet and payment types at the QR level [7].</w:t>
      </w:r>
    </w:p>
    <w:bookmarkEnd w:id="24"/>
    <w:bookmarkStart w:id="25" w:name="X9d05e54c83414a5607ee3b97395a4ccfd871fe7"/>
    <w:p>
      <w:pPr>
        <w:pStyle w:val="Heading3"/>
      </w:pPr>
      <w:r>
        <w:t xml:space="preserve">South Africa — retail QR checkout, exchange-app scans, and invoice acceptance are converging</w:t>
      </w:r>
    </w:p>
    <w:p>
      <w:pPr>
        <w:pStyle w:val="FirstParagraph"/>
      </w:pPr>
      <w:r>
        <w:t xml:space="preserve">At checkout, cited South African guidance says customers can request a</w:t>
      </w:r>
      <w:r>
        <w:t xml:space="preserve"> </w:t>
      </w:r>
      <w:r>
        <w:rPr>
          <w:bCs/>
          <w:b/>
        </w:rPr>
        <w:t xml:space="preserve">QR payment option</w:t>
      </w:r>
      <w:r>
        <w:t xml:space="preserve"> </w:t>
      </w:r>
      <w:r>
        <w:t xml:space="preserve">and scan it with</w:t>
      </w:r>
      <w:r>
        <w:t xml:space="preserve"> </w:t>
      </w:r>
      <w:r>
        <w:rPr>
          <w:bCs/>
          <w:b/>
        </w:rPr>
        <w:t xml:space="preserve">MoneyBadger</w:t>
      </w:r>
      <w:r>
        <w:t xml:space="preserve">, which connects to a Lightning wallet such as</w:t>
      </w:r>
      <w:r>
        <w:t xml:space="preserve"> </w:t>
      </w:r>
      <w:r>
        <w:rPr>
          <w:bCs/>
          <w:b/>
        </w:rPr>
        <w:t xml:space="preserve">Blink</w:t>
      </w:r>
      <w:r>
        <w:t xml:space="preserve"> </w:t>
      </w:r>
      <w:r>
        <w:t xml:space="preserve">[4]. Direct scans are also possible with</w:t>
      </w:r>
      <w:r>
        <w:t xml:space="preserve"> </w:t>
      </w:r>
      <w:r>
        <w:rPr>
          <w:bCs/>
          <w:b/>
        </w:rPr>
        <w:t xml:space="preserve">Luno, VALR, or Binance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Bootlegger, Zapper, and Pick n Pay</w:t>
      </w:r>
      <w:r>
        <w:t xml:space="preserve">, plus</w:t>
      </w:r>
      <w:r>
        <w:t xml:space="preserve"> </w:t>
      </w:r>
      <w:r>
        <w:rPr>
          <w:bCs/>
          <w:b/>
        </w:rPr>
        <w:t xml:space="preserve">Luno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VALR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Scan to Pay</w:t>
      </w:r>
      <w:r>
        <w:t xml:space="preserve"> </w:t>
      </w:r>
      <w:r>
        <w:t xml:space="preserve">merchants [4]. On the merchant side, payinbtc_me adds Bitcoin invoicing without changing QuickBooks/Zoho/Xero workflows [2]. One limitation in the cited stack:</w:t>
      </w:r>
      <w:r>
        <w:t xml:space="preserve"> </w:t>
      </w:r>
      <w:r>
        <w:rPr>
          <w:bCs/>
          <w:b/>
        </w:rPr>
        <w:t xml:space="preserve">Snapscan</w:t>
      </w:r>
      <w:r>
        <w:t xml:space="preserve"> </w:t>
      </w:r>
      <w:r>
        <w:t xml:space="preserve">Bitcoin payments were</w:t>
      </w:r>
      <w:r>
        <w:t xml:space="preserve"> </w:t>
      </w:r>
      <w:r>
        <w:rPr>
          <w:bCs/>
          <w:b/>
        </w:rPr>
        <w:t xml:space="preserve">temporarily disabled</w:t>
      </w:r>
      <w:r>
        <w:t xml:space="preserve"> </w:t>
      </w:r>
      <w:r>
        <w:t xml:space="preserve">[4].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current South African setup supports both physical retail checkout and invoice-based acceptance, but the cited materials also show that interoperability across payment rails is still uneven [4, 2].</w:t>
      </w:r>
    </w:p>
    <w:bookmarkEnd w:id="25"/>
    <w:bookmarkStart w:id="26" w:name="X4785d002c0258dc0923f612de7a5a915fc1487e"/>
    <w:p>
      <w:pPr>
        <w:pStyle w:val="Heading3"/>
      </w:pPr>
      <w:r>
        <w:t xml:space="preserve">Kenya — BTC Shule is training for real payment execution</w:t>
      </w:r>
    </w:p>
    <w:p>
      <w:pPr>
        <w:pStyle w:val="FirstParagraph"/>
      </w:pPr>
      <w:r>
        <w:t xml:space="preserve">BTC Shule said participants in a hands-on workshop executed</w:t>
      </w:r>
      <w:r>
        <w:t xml:space="preserve"> </w:t>
      </w:r>
      <w:r>
        <w:rPr>
          <w:bCs/>
          <w:b/>
        </w:rPr>
        <w:t xml:space="preserve">real Bitcoin transactions</w:t>
      </w:r>
      <w:r>
        <w:t xml:space="preserve"> </w:t>
      </w:r>
      <w:r>
        <w:t xml:space="preserve">and explored how to integrate payments into</w:t>
      </w:r>
      <w:r>
        <w:t xml:space="preserve"> </w:t>
      </w:r>
      <w:r>
        <w:rPr>
          <w:bCs/>
          <w:b/>
        </w:rPr>
        <w:t xml:space="preserve">businesses and everyday life</w:t>
      </w:r>
      <w:r>
        <w:t xml:space="preserve"> </w:t>
      </w:r>
      <w:r>
        <w:t xml:space="preserve">[8].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emphasis is practical implementation, not just awareness, which is directly relevant to merchant and user readiness [8].</w:t>
      </w:r>
    </w:p>
    <w:bookmarkEnd w:id="26"/>
    <w:bookmarkEnd w:id="27"/>
    <w:bookmarkStart w:id="31" w:name="regulatory-landscape"/>
    <w:p>
      <w:pPr>
        <w:pStyle w:val="Heading2"/>
      </w:pPr>
      <w:r>
        <w:t xml:space="preserve">Regulatory Landscape</w:t>
      </w:r>
    </w:p>
    <w:bookmarkStart w:id="28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new legal or regulatory changes affecting Bitcoin payments were cited in the current materials.</w:t>
      </w:r>
    </w:p>
    <w:bookmarkEnd w:id="28"/>
    <w:bookmarkStart w:id="29" w:name="americas"/>
    <w:p>
      <w:pPr>
        <w:pStyle w:val="Heading3"/>
      </w:pPr>
      <w:r>
        <w:t xml:space="preserve">Americas</w:t>
      </w:r>
    </w:p>
    <w:p>
      <w:pPr>
        <w:pStyle w:val="FirstParagraph"/>
      </w:pPr>
      <w:r>
        <w:t xml:space="preserve">No new legal or regulatory changes affecting Bitcoin payments were cited in the current materials.</w:t>
      </w:r>
    </w:p>
    <w:bookmarkEnd w:id="29"/>
    <w:bookmarkStart w:id="30" w:name="global"/>
    <w:p>
      <w:pPr>
        <w:pStyle w:val="Heading3"/>
      </w:pPr>
      <w:r>
        <w:t xml:space="preserve">Global</w:t>
      </w:r>
    </w:p>
    <w:p>
      <w:pPr>
        <w:pStyle w:val="FirstParagraph"/>
      </w:pPr>
      <w:r>
        <w:t xml:space="preserve">This cycle’s evidence is operational rather than policy-driven:</w:t>
      </w:r>
      <w:r>
        <w:t xml:space="preserve"> </w:t>
      </w:r>
      <w:r>
        <w:rPr>
          <w:bCs/>
          <w:b/>
        </w:rPr>
        <w:t xml:space="preserve">merchant POS requests, PSP integrations, QR standardization, and payments training</w:t>
      </w:r>
      <w:r>
        <w:t xml:space="preserve"> </w:t>
      </w:r>
      <w:r>
        <w:t xml:space="preserve">dominate the source set [5, 1, 7, 8].</w:t>
      </w:r>
    </w:p>
    <w:bookmarkEnd w:id="30"/>
    <w:bookmarkEnd w:id="31"/>
    <w:bookmarkStart w:id="34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Hard transaction-volume data were limited in the cited materials, but several quantified indicators stand out.</w:t>
      </w:r>
    </w:p>
    <w:bookmarkStart w:id="32" w:name="africa-1"/>
    <w:p>
      <w:pPr>
        <w:pStyle w:val="Heading3"/>
      </w:pPr>
      <w:r>
        <w:t xml:space="preserve">Africa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Africa:</w:t>
      </w:r>
      <w:r>
        <w:t xml:space="preserve"> </w:t>
      </w:r>
      <w:r>
        <w:t xml:space="preserve">cited MoneyBadger integrations are described as enabling Bitcoin payments at</w:t>
      </w:r>
      <w:r>
        <w:t xml:space="preserve"> </w:t>
      </w:r>
      <w:r>
        <w:rPr>
          <w:bCs/>
          <w:b/>
        </w:rPr>
        <w:t xml:space="preserve">hundreds of thousands of stores nationwide</w:t>
      </w:r>
      <w:r>
        <w:t xml:space="preserve">, including</w:t>
      </w:r>
      <w:r>
        <w:t xml:space="preserve"> </w:t>
      </w:r>
      <w:r>
        <w:rPr>
          <w:bCs/>
          <w:b/>
        </w:rPr>
        <w:t xml:space="preserve">Checkers, Engen, Makro, and Vodacom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 / Kibera:</w:t>
      </w:r>
      <w:r>
        <w:t xml:space="preserve"> </w:t>
      </w:r>
      <w:r>
        <w:t xml:space="preserve">legacy rails were cited as charging</w:t>
      </w:r>
      <w:r>
        <w:t xml:space="preserve"> </w:t>
      </w:r>
      <w:r>
        <w:rPr>
          <w:bCs/>
          <w:b/>
        </w:rPr>
        <w:t xml:space="preserve">Ksh 108 per Ksh 25,000 sent</w:t>
      </w:r>
      <w:r>
        <w:t xml:space="preserve">, while</w:t>
      </w:r>
      <w:r>
        <w:t xml:space="preserve"> </w:t>
      </w:r>
      <w:r>
        <w:rPr>
          <w:bCs/>
          <w:b/>
        </w:rPr>
        <w:t xml:space="preserve">Bitcoin Lightning</w:t>
      </w:r>
      <w:r>
        <w:t xml:space="preserve"> </w:t>
      </w:r>
      <w:r>
        <w:t xml:space="preserve">was described as charging</w:t>
      </w:r>
      <w:r>
        <w:t xml:space="preserve"> </w:t>
      </w:r>
      <w:r>
        <w:rPr>
          <w:bCs/>
          <w:b/>
        </w:rPr>
        <w:t xml:space="preserve">zero</w:t>
      </w:r>
      <w:r>
        <w:t xml:space="preserve"> </w:t>
      </w:r>
      <w:r>
        <w:t xml:space="preserve">[9].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South Africa:</w:t>
      </w:r>
      <w:r>
        <w:t xml:space="preserve"> </w:t>
      </w:r>
      <w:r>
        <w:t xml:space="preserve">one cited user documented everyday Bitcoin spending across</w:t>
      </w:r>
      <w:r>
        <w:t xml:space="preserve"> </w:t>
      </w:r>
      <w:r>
        <w:rPr>
          <w:bCs/>
          <w:b/>
        </w:rPr>
        <w:t xml:space="preserve">breakfast, coffee, groceries, medicine, socks, parking, fuel, and lunch</w:t>
      </w:r>
      <w:r>
        <w:t xml:space="preserve">, indicating multi-category spendability [4].</w:t>
      </w:r>
    </w:p>
    <w:bookmarkEnd w:id="32"/>
    <w:bookmarkStart w:id="33" w:name="americas-1"/>
    <w:p>
      <w:pPr>
        <w:pStyle w:val="Heading3"/>
      </w:pPr>
      <w:r>
        <w:t xml:space="preserve">Americas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Berlín, El Salvador:</w:t>
      </w:r>
      <w:r>
        <w:t xml:space="preserve"> </w:t>
      </w:r>
      <w:r>
        <w:t xml:space="preserve">the cited evidence is qualitative rather than volumetric; high school students are already using</w:t>
      </w:r>
      <w:r>
        <w:t xml:space="preserve"> </w:t>
      </w:r>
      <w:r>
        <w:rPr>
          <w:bCs/>
          <w:b/>
        </w:rPr>
        <w:t xml:space="preserve">NFC cards</w:t>
      </w:r>
      <w:r>
        <w:t xml:space="preserve"> </w:t>
      </w:r>
      <w:r>
        <w:t xml:space="preserve">for Bitcoin payments at school, and the merchant requested a</w:t>
      </w:r>
      <w:r>
        <w:t xml:space="preserve"> </w:t>
      </w:r>
      <w:r>
        <w:rPr>
          <w:bCs/>
          <w:b/>
        </w:rPr>
        <w:t xml:space="preserve">Bitcoin POS</w:t>
      </w:r>
      <w:r>
        <w:t xml:space="preserve"> </w:t>
      </w:r>
      <w:r>
        <w:t xml:space="preserve">to support them [5].</w:t>
      </w:r>
    </w:p>
    <w:bookmarkEnd w:id="33"/>
    <w:bookmarkEnd w:id="34"/>
    <w:bookmarkStart w:id="38" w:name="emerging-markets"/>
    <w:p>
      <w:pPr>
        <w:pStyle w:val="Heading2"/>
      </w:pPr>
      <w:r>
        <w:t xml:space="preserve">Emerging Markets</w:t>
      </w:r>
    </w:p>
    <w:bookmarkStart w:id="35" w:name="Xe6986ca1246fa65f16d6f73ee7e9c40d83fe625"/>
    <w:p>
      <w:pPr>
        <w:pStyle w:val="Heading3"/>
      </w:pPr>
      <w:r>
        <w:t xml:space="preserve">Kibera, Kenya — Lightning is being framed as a cheaper remittance rail</w:t>
      </w:r>
    </w:p>
    <w:p>
      <w:pPr>
        <w:pStyle w:val="FirstParagraph"/>
      </w:pPr>
      <w:r>
        <w:t xml:space="preserve">Afribit Kibera said money that moves fast stays in the community, contrasting</w:t>
      </w:r>
      <w:r>
        <w:t xml:space="preserve"> </w:t>
      </w:r>
      <w:r>
        <w:rPr>
          <w:bCs/>
          <w:b/>
        </w:rPr>
        <w:t xml:space="preserve">Ksh 108 per Ksh 25,000</w:t>
      </w:r>
      <w:r>
        <w:t xml:space="preserve"> </w:t>
      </w:r>
      <w:r>
        <w:t xml:space="preserve">on legacy rails with</w:t>
      </w:r>
      <w:r>
        <w:t xml:space="preserve"> </w:t>
      </w:r>
      <w:r>
        <w:rPr>
          <w:bCs/>
          <w:b/>
        </w:rPr>
        <w:t xml:space="preserve">zero-fee</w:t>
      </w:r>
      <w:r>
        <w:t xml:space="preserve"> </w:t>
      </w:r>
      <w:r>
        <w:t xml:space="preserve">Bitcoin Lightning transfers [9].</w:t>
      </w:r>
    </w:p>
    <w:p>
      <w:pPr>
        <w:pStyle w:val="BlockText"/>
      </w:pPr>
      <w:r>
        <w:t xml:space="preserve">“</w:t>
      </w:r>
      <w:r>
        <w:t xml:space="preserve">Lightning gives velocity back to the people.</w:t>
      </w:r>
      <w:r>
        <w:t xml:space="preserve">”</w:t>
      </w:r>
      <w:r>
        <w:t xml:space="preserve"> </w:t>
      </w:r>
      <w:r>
        <w:t xml:space="preserve">[9]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case is explicitly about payment efficiency and community retention of value in a remittance-style context [9].</w:t>
      </w:r>
    </w:p>
    <w:bookmarkEnd w:id="35"/>
    <w:bookmarkStart w:id="36" w:name="Xa0f3f07d1ca96d81cb107745d88bd01e4b55048"/>
    <w:p>
      <w:pPr>
        <w:pStyle w:val="Heading3"/>
      </w:pPr>
      <w:r>
        <w:t xml:space="preserve">Rural Kenya — Bitcoin Chama is translating pooled sats into real purchases</w:t>
      </w:r>
    </w:p>
    <w:p>
      <w:pPr>
        <w:pStyle w:val="FirstParagraph"/>
      </w:pPr>
      <w:r>
        <w:t xml:space="preserve">In a rural Kenyan</w:t>
      </w:r>
      <w:r>
        <w:t xml:space="preserve"> </w:t>
      </w:r>
      <w:r>
        <w:rPr>
          <w:bCs/>
          <w:b/>
        </w:rPr>
        <w:t xml:space="preserve">Bitcoin Chama</w:t>
      </w:r>
      <w:r>
        <w:t xml:space="preserve">,</w:t>
      </w:r>
      <w:r>
        <w:t xml:space="preserve"> </w:t>
      </w:r>
      <w:r>
        <w:rPr>
          <w:bCs/>
          <w:b/>
        </w:rPr>
        <w:t xml:space="preserve">Helena</w:t>
      </w:r>
      <w:r>
        <w:t xml:space="preserve"> </w:t>
      </w:r>
      <w:r>
        <w:t xml:space="preserve">used chama collections plus her own sats savings to buy a</w:t>
      </w:r>
      <w:r>
        <w:t xml:space="preserve"> </w:t>
      </w:r>
      <w:r>
        <w:rPr>
          <w:bCs/>
          <w:b/>
        </w:rPr>
        <w:t xml:space="preserve">goat</w:t>
      </w:r>
      <w:r>
        <w:t xml:space="preserve"> </w:t>
      </w:r>
      <w:r>
        <w:t xml:space="preserve">[10].</w:t>
      </w:r>
      <w:r>
        <w:t xml:space="preserve"> </w:t>
      </w:r>
      <w:r>
        <w:rPr>
          <w:bCs/>
          <w:b/>
        </w:rPr>
        <w:t xml:space="preserve">Alice</w:t>
      </w:r>
      <w:r>
        <w:t xml:space="preserve"> </w:t>
      </w:r>
      <w:r>
        <w:t xml:space="preserve">bought a</w:t>
      </w:r>
      <w:r>
        <w:t xml:space="preserve"> </w:t>
      </w:r>
      <w:r>
        <w:rPr>
          <w:bCs/>
          <w:b/>
        </w:rPr>
        <w:t xml:space="preserve">mattress</w:t>
      </w:r>
      <w:r>
        <w:t xml:space="preserve"> </w:t>
      </w:r>
      <w:r>
        <w:t xml:space="preserve">for her family with support from members and Bitcoin-enabled savings [11]. The posts frame this as a rural circular economy built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one at a time</w:t>
      </w:r>
      <w:r>
        <w:rPr>
          <w:bCs/>
          <w:b/>
        </w:rPr>
        <w:t xml:space="preserve">”</w:t>
      </w:r>
      <w:r>
        <w:t xml:space="preserve"> </w:t>
      </w:r>
      <w:r>
        <w:t xml:space="preserve">[10, 11].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purchases are practical household and livestock acquisitions, showing Bitcoin-linked savings and circulation being used for tangible rural needs [10, 11].</w:t>
      </w:r>
    </w:p>
    <w:bookmarkEnd w:id="36"/>
    <w:bookmarkStart w:id="37" w:name="Xb7814c6baf214798ddf2e5871c5e71ff8d5949d"/>
    <w:p>
      <w:pPr>
        <w:pStyle w:val="Heading3"/>
      </w:pPr>
      <w:r>
        <w:t xml:space="preserve">Tena (country not specified in the cited post) — sats rewards are cycling back into local spending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chips point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Tena</w:t>
      </w:r>
      <w:r>
        <w:t xml:space="preserve"> </w:t>
      </w:r>
      <w:r>
        <w:t xml:space="preserve">is listed on</w:t>
      </w:r>
      <w:r>
        <w:t xml:space="preserve"> </w:t>
      </w:r>
      <w:r>
        <w:rPr>
          <w:bCs/>
          <w:b/>
        </w:rPr>
        <w:t xml:space="preserve">BTC Map</w:t>
      </w:r>
      <w:r>
        <w:t xml:space="preserve"> </w:t>
      </w:r>
      <w:r>
        <w:t xml:space="preserve">as accepting Bitcoin [12]. BitBiashara said community member and employee</w:t>
      </w:r>
      <w:r>
        <w:t xml:space="preserve"> </w:t>
      </w:r>
      <w:r>
        <w:rPr>
          <w:bCs/>
          <w:b/>
        </w:rPr>
        <w:t xml:space="preserve">Meshack</w:t>
      </w:r>
      <w:r>
        <w:t xml:space="preserve"> </w:t>
      </w:r>
      <w:r>
        <w:t xml:space="preserve">was rewarded in sats for local support work and then spent those sats back within the same community [12].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pattern links Bitcoin-denominated rewards directly to local merchant spending, a core feature of circular payment economies [12].</w:t>
      </w:r>
    </w:p>
    <w:bookmarkEnd w:id="37"/>
    <w:bookmarkEnd w:id="38"/>
    <w:bookmarkStart w:id="52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strongest current signal is execution inside existing commerce flows rather than stand-alone Bitcoin-only tooling.</w:t>
      </w:r>
      <w:r>
        <w:t xml:space="preserve"> </w:t>
      </w:r>
      <w:r>
        <w:rPr>
          <w:bCs/>
          <w:b/>
        </w:rPr>
        <w:t xml:space="preserve">South Africa</w:t>
      </w:r>
      <w:r>
        <w:t xml:space="preserve"> </w:t>
      </w:r>
      <w:r>
        <w:t xml:space="preserve">shows Bitcoin being threaded through PSP networks, QR checkout, exchange-app scans, and invoice software [1, 4, 2].</w:t>
      </w:r>
      <w:r>
        <w:t xml:space="preserve"> </w:t>
      </w:r>
      <w:r>
        <w:rPr>
          <w:bCs/>
          <w:b/>
        </w:rPr>
        <w:t xml:space="preserve">Kenya</w:t>
      </w:r>
      <w:r>
        <w:t xml:space="preserve"> </w:t>
      </w:r>
      <w:r>
        <w:t xml:space="preserve">adds both a cost-based Lightning case for community transfers and rural/urban circular-spending examples [9, 10, 11, 12].</w:t>
      </w:r>
      <w:r>
        <w:t xml:space="preserve"> </w:t>
      </w:r>
      <w:r>
        <w:rPr>
          <w:bCs/>
          <w:b/>
        </w:rPr>
        <w:t xml:space="preserve">El Salvador</w:t>
      </w:r>
      <w:r>
        <w:t xml:space="preserve"> </w:t>
      </w:r>
      <w:r>
        <w:t xml:space="preserve">shows payment design adapting to local constraints through NFC cards and merchant POS demand in a school setting [5].</w:t>
      </w:r>
      <w:r>
        <w:t xml:space="preserve"> </w:t>
      </w:r>
      <w:r>
        <w:rPr>
          <w:bCs/>
          <w:b/>
        </w:rPr>
        <w:t xml:space="preserve">Nigeria</w:t>
      </w:r>
      <w:r>
        <w:t xml:space="preserve"> </w:t>
      </w:r>
      <w:r>
        <w:t xml:space="preserve">contributes a merchant-to-merchant spend example in everyday retail [6].</w:t>
      </w:r>
    </w:p>
    <w:p>
      <w:pPr>
        <w:pStyle w:val="BodyText"/>
      </w:pPr>
      <w:r>
        <w:t xml:space="preserve">The main gap is measurement. Beyond store-reach estimates and fee comparisons, the current source set provides limited transaction-volume data [4, 9]. No new regulatory shifts were cited, so the near-term momentum in these materials is being driven by</w:t>
      </w:r>
      <w:r>
        <w:t xml:space="preserve"> </w:t>
      </w:r>
      <w:r>
        <w:rPr>
          <w:bCs/>
          <w:b/>
        </w:rPr>
        <w:t xml:space="preserve">merchant integration, interoperability work, and community-level usage</w:t>
      </w:r>
      <w:r>
        <w:t xml:space="preserve"> </w:t>
      </w:r>
      <w:r>
        <w:t xml:space="preserve">[7, 1, 12].</w:t>
      </w:r>
    </w:p>
    <w:p>
      <w:r>
        <w:pict>
          <v:rect style="width:0;height:1.5pt" o:hralign="center" o:hrstd="t" o:hr="t"/>
        </w:pict>
      </w:r>
    </w:p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3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3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@payinbtc_me</w:t>
        </w:r>
      </w:hyperlink>
    </w:p>
    <w:p>
      <w:pPr>
        <w:numPr>
          <w:ilvl w:val="0"/>
          <w:numId w:val="1003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3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@BitcoinBerlinSV</w:t>
        </w:r>
      </w:hyperlink>
    </w:p>
    <w:p>
      <w:pPr>
        <w:numPr>
          <w:ilvl w:val="0"/>
          <w:numId w:val="100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@BitcoinEkiti</w:t>
        </w:r>
      </w:hyperlink>
    </w:p>
    <w:p>
      <w:pPr>
        <w:numPr>
          <w:ilvl w:val="0"/>
          <w:numId w:val="1003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@callebtc</w:t>
        </w:r>
      </w:hyperlink>
    </w:p>
    <w:p>
      <w:pPr>
        <w:numPr>
          <w:ilvl w:val="0"/>
          <w:numId w:val="100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@btcshule</w:t>
        </w:r>
      </w:hyperlink>
    </w:p>
    <w:p>
      <w:pPr>
        <w:numPr>
          <w:ilvl w:val="0"/>
          <w:numId w:val="100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@AfribitKibera</w:t>
        </w:r>
      </w:hyperlink>
    </w:p>
    <w:p>
      <w:pPr>
        <w:numPr>
          <w:ilvl w:val="0"/>
          <w:numId w:val="1003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3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s://x.com/AfribitKibera/status/2036357176671998161" TargetMode="External" /><Relationship Type="http://schemas.openxmlformats.org/officeDocument/2006/relationships/hyperlink" Id="rId50" Target="https://x.com/BitBiashara/status/2036404666301284738" TargetMode="External" /><Relationship Type="http://schemas.openxmlformats.org/officeDocument/2006/relationships/hyperlink" Id="rId43" Target="https://x.com/BitcoinBerlinSV/status/2036628317210550757" TargetMode="External" /><Relationship Type="http://schemas.openxmlformats.org/officeDocument/2006/relationships/hyperlink" Id="rId44" Target="https://x.com/BitcoinEkiti/status/2036395349577695397" TargetMode="External" /><Relationship Type="http://schemas.openxmlformats.org/officeDocument/2006/relationships/hyperlink" Id="rId48" Target="https://x.com/Bitcoinchama/status/2033599302409367908" TargetMode="External" /><Relationship Type="http://schemas.openxmlformats.org/officeDocument/2006/relationships/hyperlink" Id="rId49" Target="https://x.com/Bitcoinchama/status/2036402502900302260" TargetMode="External" /><Relationship Type="http://schemas.openxmlformats.org/officeDocument/2006/relationships/hyperlink" Id="rId39" Target="https://x.com/MoneyBadgerPay/status/2036415763108479370" TargetMode="External" /><Relationship Type="http://schemas.openxmlformats.org/officeDocument/2006/relationships/hyperlink" Id="rId40" Target="https://x.com/MoneyBadgerPay/status/2036466235773235348" TargetMode="External" /><Relationship Type="http://schemas.openxmlformats.org/officeDocument/2006/relationships/hyperlink" Id="rId42" Target="https://x.com/NickDarlington/status/1975536865697489000" TargetMode="External" /><Relationship Type="http://schemas.openxmlformats.org/officeDocument/2006/relationships/hyperlink" Id="rId46" Target="https://x.com/btcshule/status/2036364464358887640" TargetMode="External" /><Relationship Type="http://schemas.openxmlformats.org/officeDocument/2006/relationships/hyperlink" Id="rId45" Target="https://x.com/callebtc/status/2036450428515148149" TargetMode="External" /><Relationship Type="http://schemas.openxmlformats.org/officeDocument/2006/relationships/hyperlink" Id="rId41" Target="https://x.com/payinbtc_me/status/203642063467943123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s://x.com/AfribitKibera/status/2036357176671998161" TargetMode="External" /><Relationship Type="http://schemas.openxmlformats.org/officeDocument/2006/relationships/hyperlink" Id="rId50" Target="https://x.com/BitBiashara/status/2036404666301284738" TargetMode="External" /><Relationship Type="http://schemas.openxmlformats.org/officeDocument/2006/relationships/hyperlink" Id="rId43" Target="https://x.com/BitcoinBerlinSV/status/2036628317210550757" TargetMode="External" /><Relationship Type="http://schemas.openxmlformats.org/officeDocument/2006/relationships/hyperlink" Id="rId44" Target="https://x.com/BitcoinEkiti/status/2036395349577695397" TargetMode="External" /><Relationship Type="http://schemas.openxmlformats.org/officeDocument/2006/relationships/hyperlink" Id="rId48" Target="https://x.com/Bitcoinchama/status/2033599302409367908" TargetMode="External" /><Relationship Type="http://schemas.openxmlformats.org/officeDocument/2006/relationships/hyperlink" Id="rId49" Target="https://x.com/Bitcoinchama/status/2036402502900302260" TargetMode="External" /><Relationship Type="http://schemas.openxmlformats.org/officeDocument/2006/relationships/hyperlink" Id="rId39" Target="https://x.com/MoneyBadgerPay/status/2036415763108479370" TargetMode="External" /><Relationship Type="http://schemas.openxmlformats.org/officeDocument/2006/relationships/hyperlink" Id="rId40" Target="https://x.com/MoneyBadgerPay/status/2036466235773235348" TargetMode="External" /><Relationship Type="http://schemas.openxmlformats.org/officeDocument/2006/relationships/hyperlink" Id="rId42" Target="https://x.com/NickDarlington/status/1975536865697489000" TargetMode="External" /><Relationship Type="http://schemas.openxmlformats.org/officeDocument/2006/relationships/hyperlink" Id="rId46" Target="https://x.com/btcshule/status/2036364464358887640" TargetMode="External" /><Relationship Type="http://schemas.openxmlformats.org/officeDocument/2006/relationships/hyperlink" Id="rId45" Target="https://x.com/callebtc/status/2036450428515148149" TargetMode="External" /><Relationship Type="http://schemas.openxmlformats.org/officeDocument/2006/relationships/hyperlink" Id="rId41" Target="https://x.com/payinbtc_me/status/20364206346794312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Africa’s Merchant Rails Deepen as Kenya, Nigeria, and El Salvador Extend Bitcoin Payments</dc:title>
  <dc:creator>Bitcoin Payment Adoption Tracker</dc:creator>
  <cp:keywords/>
  <dcterms:created xsi:type="dcterms:W3CDTF">2026-04-03T10:09:42Z</dcterms:created>
  <dcterms:modified xsi:type="dcterms:W3CDTF">2026-04-03T10:09:42Z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2026-03-25</vt:lpwstr>
  </property>
</Properties>
</file>