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Specialized Intelligence Becomes the Moat as Compute Tightens</w:t>
      </w:r>
    </w:p>
    <w:p>
      <w:pPr>
        <w:pStyle w:val="Author"/>
      </w:pPr>
      <w:r>
        <w:t xml:space="preserve">VC Tech Radar</w:t>
      </w:r>
    </w:p>
    <w:p>
      <w:pPr>
        <w:pStyle w:val="Date"/>
      </w:pPr>
      <w:r>
        <w:t xml:space="preserve">2026-08-21</w:t>
      </w:r>
    </w:p>
    <w:bookmarkStart w:id="43" w:name="X08c7b4a9e847680ec1b227e8db3fe183253c81a"/>
    <w:p>
      <w:pPr>
        <w:pStyle w:val="Heading1"/>
      </w:pPr>
      <w:r>
        <w:t xml:space="preserve">Specialized Intelligence Becomes the Moat as Compute Tightens</w:t>
      </w:r>
    </w:p>
    <w:p>
      <w:pPr>
        <w:pStyle w:val="FirstParagraph"/>
      </w:pPr>
      <w:r>
        <w:rPr>
          <w:iCs/>
          <w:i/>
        </w:rPr>
        <w:t xml:space="preserve">By VC Tech Radar • August 21, 2026</w:t>
      </w:r>
    </w:p>
    <w:p>
      <w:pPr>
        <w:pStyle w:val="BodyText"/>
      </w:pPr>
      <w:r>
        <w:t xml:space="preserve">The period’s strongest signals point away from undifferentiated model access and toward workflow-specific intelligence, while hard-tech financing, scarce compute, and talent migration shape where the next bets can scale.</w:t>
      </w:r>
    </w:p>
    <w:bookmarkStart w:id="20" w:name="funding-deals"/>
    <w:p>
      <w:pPr>
        <w:pStyle w:val="Heading2"/>
      </w:pPr>
      <w:r>
        <w:t xml:space="preserve">1. Funding &amp; Deals</w:t>
      </w:r>
    </w:p>
    <w:p>
      <w:pPr>
        <w:pStyle w:val="FirstParagraph"/>
      </w:pPr>
      <w:r>
        <w:rPr>
          <w:bCs/>
          <w:b/>
        </w:rPr>
        <w:t xml:space="preserve">Apollo Atomics raised a $31M seed for high-power, truck-deployable reactors.</w:t>
      </w:r>
      <w:r>
        <w:t xml:space="preserve"> </w:t>
      </w:r>
      <w:r>
        <w:t xml:space="preserve">The company says the round comprises $26M of equity led by FCVC, with Y Combinator, TeleSoft Partners, Alumni Ventures, Pelion Venture Partners, Duke Capital Partners, Robinhood Ventures, and Nucleation Capital participating, plus $5M of equipment financing from Oak Ridge Financial. It claims its design can deliver more than 80 MW on a truck without exotic or scarce fuel, unqualified materials, or high regulatory uncertainty. [1]</w:t>
      </w:r>
    </w:p>
    <w:p>
      <w:pPr>
        <w:pStyle w:val="BodyText"/>
      </w:pPr>
      <w:r>
        <w:t xml:space="preserve">Apollo is running a low-power demonstrator at MIT, building a full-scale 1 MW prototype under commercial conditions, and working with the U.S. Nuclear Regulatory Commission toward commercial deployment in 2028. It is also building software for autonomous reactor control, licensing support, and reactor modeling. The investment case therefore spans hard-tech execution and software-enabled deployment; the 2028 target is the key schedule to diligence. [1]</w:t>
      </w:r>
    </w:p>
    <w:p>
      <w:pPr>
        <w:pStyle w:val="BodyText"/>
      </w:pPr>
      <w:r>
        <w:rPr>
          <w:bCs/>
          <w:b/>
        </w:rPr>
        <w:t xml:space="preserve">AnySignal won a U.S. Space Force contract to demonstrate satellite-to-satellite communications on orbit.</w:t>
      </w:r>
      <w:r>
        <w:t xml:space="preserve"> </w:t>
      </w:r>
      <w:r>
        <w:t xml:space="preserve">The system is intended to move sensor data between satellites in near-real time without routing through the ground, extending the company’s work on resilient MILSATCOM and decentralized mesh networking for contested environments. This is a useful non-dilutive customer-validation signal for resilient space infrastructure. [2]</w:t>
      </w:r>
    </w:p>
    <w:bookmarkEnd w:id="20"/>
    <w:bookmarkStart w:id="21" w:name="emerging-teams"/>
    <w:p>
      <w:pPr>
        <w:pStyle w:val="Heading2"/>
      </w:pPr>
      <w:r>
        <w:t xml:space="preserve">2. Emerging Teams</w:t>
      </w:r>
    </w:p>
    <w:p>
      <w:pPr>
        <w:pStyle w:val="FirstParagraph"/>
      </w:pPr>
      <w:r>
        <w:rPr>
          <w:bCs/>
          <w:b/>
        </w:rPr>
        <w:t xml:space="preserve">a16z is turning</w:t>
      </w:r>
      <w:r>
        <w:rPr>
          <w:bCs/>
          <w:b/>
        </w:rPr>
        <w:t xml:space="preserve"> </w:t>
      </w:r>
      <w:r>
        <w:rPr>
          <w:bCs/>
          <w:b/>
        </w:rPr>
        <w:t xml:space="preserve">“</w:t>
      </w:r>
      <w:r>
        <w:rPr>
          <w:bCs/>
          <w:b/>
        </w:rPr>
        <w:t xml:space="preserve">Borderless Founders</w:t>
      </w:r>
      <w:r>
        <w:rPr>
          <w:bCs/>
          <w:b/>
        </w:rPr>
        <w:t xml:space="preserve">”</w:t>
      </w:r>
      <w:r>
        <w:rPr>
          <w:bCs/>
          <w:b/>
        </w:rPr>
        <w:t xml:space="preserve"> </w:t>
      </w:r>
      <w:r>
        <w:rPr>
          <w:bCs/>
          <w:b/>
        </w:rPr>
        <w:t xml:space="preserve">into an explicit early-stage sourcing thesis.</w:t>
      </w:r>
      <w:r>
        <w:t xml:space="preserve"> </w:t>
      </w:r>
      <w:r>
        <w:t xml:space="preserve">Its argument is that founders with one foot in their home country and one in Silicon Valley can land early customers through local and diaspora relationships, while accessing home-country talent before it becomes obvious to the broader market. [3] Pit, a seed-stage Stockholm AI platform, landed H&amp;M and Stena Metall as first customers; CEO Adam Jaffer had previously founded Voi Mobility. Supersonik founder Daniel Carmona used the Spanish diaspora to secure Salesforce as the company’s first major contract. [3]</w:t>
      </w:r>
    </w:p>
    <w:p>
      <w:pPr>
        <w:pStyle w:val="BodyText"/>
      </w:pPr>
      <w:r>
        <w:t xml:space="preserve">The playbook is operational, not merely cultural: a16z maps country nodes, hosts founder dinners, maintains in-person presence, builds diaspora communities, and says it invested at seed in two founders who had previously built Kry and Voi. It reports that 44% of a16z Apps’ early portfolio companies feature international founders, split evenly between U.S. and foreign headquarters. For seed investors, geography and diaspora reach can be underwriting inputs for customer acquisition and recruiting—not just biographical color. [3]</w:t>
      </w:r>
    </w:p>
    <w:p>
      <w:pPr>
        <w:pStyle w:val="BodyText"/>
      </w:pPr>
      <w:r>
        <w:rPr>
          <w:bCs/>
          <w:b/>
        </w:rPr>
        <w:t xml:space="preserve">Chai Discovery added Bristol Myers Squibb to its reported biopharma customer roster.</w:t>
      </w:r>
      <w:r>
        <w:t xml:space="preserve"> </w:t>
      </w:r>
      <w:r>
        <w:t xml:space="preserve">Chai says BMS joins Eli Lilly, Novartis, Pfizer, and argenx in using its models for therapeutic discovery since Chai-3 was rolled out to partners at the start of the year. That is a strategic-validation signal for scientific AI, though the announcement provides no financing or outcome data. [4]</w:t>
      </w:r>
    </w:p>
    <w:bookmarkEnd w:id="21"/>
    <w:bookmarkStart w:id="22" w:name="ai-tech-breakthroughs"/>
    <w:p>
      <w:pPr>
        <w:pStyle w:val="Heading2"/>
      </w:pPr>
      <w:r>
        <w:t xml:space="preserve">3. AI &amp; Tech Breakthroughs</w:t>
      </w:r>
    </w:p>
    <w:p>
      <w:pPr>
        <w:pStyle w:val="FirstParagraph"/>
      </w:pPr>
      <w:r>
        <w:rPr>
          <w:bCs/>
          <w:b/>
        </w:rPr>
        <w:t xml:space="preserve">Harvey’s Tenet is the clearest current example of specialized post-training producing both quality and cost gains.</w:t>
      </w:r>
      <w:r>
        <w:t xml:space="preserve"> </w:t>
      </w:r>
      <w:r>
        <w:t xml:space="preserve">Harvey says Tenet uses Kimi K3 as its base, was post-trained with Fireworks for long-horizon legal work, and learned from synthetic data, public legal data, and human expert data. On LAB holdouts, it completed almost twice as many tasks as base Kimi K3 and 20% more LAB Contracts tasks, while increasing all-pass rates by 9 and 2 percentage points; it reports state-of-the-art performance on LAB Contracts and second place on LAB. [5] Reward shaping targeted efficient tool use and reasoning, allowing Harvey to improve performance while keeping cost stable. [5]</w:t>
      </w:r>
    </w:p>
    <w:p>
      <w:pPr>
        <w:pStyle w:val="BodyText"/>
      </w:pPr>
      <w:r>
        <w:t xml:space="preserve">The broader result is a stack rather than a fine-tune. On an M&amp;A diligence task involving up to 80M tokens of documents, Harvey’s recursive-language-model harness lifted GLM-5.2 from a 46.1% criteria-pass rate to 60.1% after post-training. In Review Table, the post-trained model improved answer quality by 3.6 points and citation quality by 12.1 points at roughly one-tenth the cost per cell. [5] In a separate Engram partnership, parametric memory improved criteria pass rate by more than 15%, cut tokens by 58%, reduced cost per query by 90%, and raised Harvey’s intelligence-per-token score to 190.8 versus 129.3 for its best frontier configuration. [5] The investment implication is that domain environments, harnesses, memory, and evaluation may be more defensible than access to a general model.</w:t>
      </w:r>
    </w:p>
    <w:p>
      <w:pPr>
        <w:pStyle w:val="BodyText"/>
      </w:pPr>
      <w:r>
        <w:rPr>
          <w:bCs/>
          <w:b/>
        </w:rPr>
        <w:t xml:space="preserve">Model access is becoming an orchestration surface.</w:t>
      </w:r>
      <w:r>
        <w:t xml:space="preserve"> </w:t>
      </w:r>
      <w:r>
        <w:t xml:space="preserve">Perplexity’s Agent API exposes 41 frontier models across nine providers through one endpoint, with web, finance, fetch, and sandboxed-code tools. RouteLLM advertises caching and access to more than 150 models, routing simple turns to open-source models and complex, long-running tasks to frontier models. The signal is a continued shift toward task-level model selection and tool execution as developer primitives. [6, 7]</w:t>
      </w:r>
    </w:p>
    <w:p>
      <w:pPr>
        <w:pStyle w:val="BodyText"/>
      </w:pPr>
      <w:r>
        <w:rPr>
          <w:bCs/>
          <w:b/>
        </w:rPr>
        <w:t xml:space="preserve">Memory is emerging as a standalone agent-infrastructure category.</w:t>
      </w:r>
      <w:r>
        <w:t xml:space="preserve"> </w:t>
      </w:r>
      <w:r>
        <w:t xml:space="preserve">Chroma’s Foundation research preview says it builds self-improving memory from agent sessions. The research-preview qualification matters: this is an infrastructure direction to track, not yet evidence of production traction. [8]</w:t>
      </w:r>
    </w:p>
    <w:bookmarkEnd w:id="22"/>
    <w:bookmarkStart w:id="23" w:name="market-signals"/>
    <w:p>
      <w:pPr>
        <w:pStyle w:val="Heading2"/>
      </w:pPr>
      <w:r>
        <w:t xml:space="preserve">4. Market Signals</w:t>
      </w:r>
    </w:p>
    <w:p>
      <w:pPr>
        <w:pStyle w:val="FirstParagraph"/>
      </w:pPr>
      <w:r>
        <w:rPr>
          <w:bCs/>
          <w:b/>
        </w:rPr>
        <w:t xml:space="preserve">Owner’s operating data shows how agentic vertical SaaS can invert conventional product metrics.</w:t>
      </w:r>
      <w:r>
        <w:t xml:space="preserve"> </w:t>
      </w:r>
      <w:r>
        <w:t xml:space="preserve">Owner reports that more than 83% of new customers now start in its AI product, up from 0% two years earlier, with faster growth in 2025 and year-to-date 2026 than in 2024 and the company approaching $100M ARR. [9] Its stated advantage is an opinionated product that enforces one system across customers and accumulates outcome data about what drives restaurant sales. [9] CEO Adam Guild argues that dashboard logins can become a failure signal: if customers must return to fix what the software did, the agent failed. [9] For early-stage underwriting, ask whether an agent reduces manual intervention while generating proprietary outcome data, even if DAU or MAU declines.</w:t>
      </w:r>
    </w:p>
    <w:p>
      <w:pPr>
        <w:pStyle w:val="BodyText"/>
      </w:pPr>
      <w:r>
        <w:rPr>
          <w:bCs/>
          <w:b/>
        </w:rPr>
        <w:t xml:space="preserve">AI labs are pulling senior engineering talent out of incumbents despite unusually large retention offers.</w:t>
      </w:r>
      <w:r>
        <w:t xml:space="preserve"> </w:t>
      </w:r>
      <w:r>
        <w:t xml:space="preserve">A report based on interviews with Meta engineers says the company offered IC6/IC7 staff and principal engineers $400K to $1M+ in retainer equity, vesting over three years; $1M+ offers were associated with Anthropic or OpenAI offers. Of three engineers who received $1M+ counteroffers, two joined Anthropic and the third left a month later after initially accepting Meta’s grant. [10] The same account describes a long-tenured AI infrastructure engineer choosing a startup after its founder materially increased the equity package and made the role feel more consequential. [10] This is interview-based evidence rather than a market-wide survey, but it raises the value of founder-led recruiting and meaningful technical ownership for seed-stage teams.</w:t>
      </w:r>
    </w:p>
    <w:p>
      <w:pPr>
        <w:pStyle w:val="BodyText"/>
      </w:pPr>
      <w:r>
        <w:rPr>
          <w:bCs/>
          <w:b/>
        </w:rPr>
        <w:t xml:space="preserve">Compute scarcity is becoming a company-risk variable.</w:t>
      </w:r>
      <w:r>
        <w:t xml:space="preserve"> </w:t>
      </w:r>
      <w:r>
        <w:t xml:space="preserve">Conviction founder Sarah Guo warned that many strong AI companies could become desperate because growth is limited by compute. The warning is not quantified, but it is a direct investor signal to diligence capacity access, financing runway, and whether a company’s product can grow under constrained inference supply. [11]</w:t>
      </w:r>
    </w:p>
    <w:p>
      <w:pPr>
        <w:pStyle w:val="BodyText"/>
      </w:pPr>
      <w:r>
        <w:rPr>
          <w:bCs/>
          <w:b/>
        </w:rPr>
        <w:t xml:space="preserve">Deployment policy is moving quickly in autonomous mobility.</w:t>
      </w:r>
      <w:r>
        <w:t xml:space="preserve"> </w:t>
      </w:r>
      <w:r>
        <w:t xml:space="preserve">TechCrunch said Nevada permits would allow up to 8,000 robotaxis to be deployed over the next 12 months; Jason Calacanis characterized the change as a rapid reversal from Nevada’s earlier resistance to ride sharing. This is a regulatory tailwind signal, not evidence that fleet economics or operational reliability are solved. [12, 13]</w:t>
      </w:r>
    </w:p>
    <w:bookmarkEnd w:id="23"/>
    <w:bookmarkStart w:id="42" w:name="worth-your-time"/>
    <w:p>
      <w:pPr>
        <w:pStyle w:val="Heading2"/>
      </w:pPr>
      <w:r>
        <w:t xml:space="preserve">5. Worth Your Time</w:t>
      </w:r>
    </w:p>
    <w:p>
      <w:pPr>
        <w:numPr>
          <w:ilvl w:val="0"/>
          <w:numId w:val="1001"/>
        </w:numPr>
        <w:pStyle w:val="Compact"/>
      </w:pPr>
      <w:r>
        <w:rPr>
          <w:bCs/>
          <w:b/>
        </w:rPr>
        <w:t xml:space="preserve">Read —</w:t>
      </w:r>
      <w:r>
        <w:rPr>
          <w:bCs/>
          <w:b/>
        </w:rPr>
        <w:t xml:space="preserve"> </w:t>
      </w:r>
      <w:hyperlink r:id="rId24">
        <w:r>
          <w:rPr>
            <w:rStyle w:val="Hyperlink"/>
            <w:bCs/>
            <w:b/>
          </w:rPr>
          <w:t xml:space="preserve">Harvey’s</w:t>
        </w:r>
        <w:r>
          <w:rPr>
            <w:rStyle w:val="Hyperlink"/>
            <w:bCs/>
            <w:b/>
          </w:rPr>
          <w:t xml:space="preserve"> </w:t>
        </w:r>
        <w:r>
          <w:rPr>
            <w:rStyle w:val="Hyperlink"/>
            <w:bCs/>
            <w:b/>
          </w:rPr>
          <w:t xml:space="preserve">“</w:t>
        </w:r>
        <w:r>
          <w:rPr>
            <w:rStyle w:val="Hyperlink"/>
            <w:bCs/>
            <w:b/>
          </w:rPr>
          <w:t xml:space="preserve">Update on our post-training effort</w:t>
        </w:r>
        <w:r>
          <w:rPr>
            <w:rStyle w:val="Hyperlink"/>
            <w:bCs/>
            <w:b/>
          </w:rPr>
          <w:t xml:space="preserve">”</w:t>
        </w:r>
      </w:hyperlink>
      <w:r>
        <w:rPr>
          <w:bCs/>
          <w:b/>
        </w:rPr>
        <w:t xml:space="preserve">.</w:t>
      </w:r>
      <w:r>
        <w:t xml:space="preserve"> </w:t>
      </w:r>
      <w:r>
        <w:t xml:space="preserve">The primary technical account of Tenet, recursive-language-model harnesses, reward shaping, and firm-specific memory. [5]</w:t>
      </w:r>
    </w:p>
    <w:p>
      <w:pPr>
        <w:numPr>
          <w:ilvl w:val="0"/>
          <w:numId w:val="1001"/>
        </w:numPr>
        <w:pStyle w:val="Compact"/>
      </w:pPr>
      <w:r>
        <w:rPr>
          <w:bCs/>
          <w:b/>
        </w:rPr>
        <w:t xml:space="preserve">Watch —</w:t>
      </w:r>
      <w:r>
        <w:rPr>
          <w:bCs/>
          <w:b/>
        </w:rPr>
        <w:t xml:space="preserve"> </w:t>
      </w:r>
      <w:hyperlink r:id="rId25">
        <w:r>
          <w:rPr>
            <w:rStyle w:val="Hyperlink"/>
            <w:bCs/>
            <w:b/>
          </w:rPr>
          <w:t xml:space="preserve">YC Paper Club: data, benchmarks, and multilingual pre-training</w:t>
        </w:r>
      </w:hyperlink>
      <w:r>
        <w:rPr>
          <w:bCs/>
          <w:b/>
        </w:rPr>
        <w:t xml:space="preserve">.</w:t>
      </w:r>
      <w:r>
        <w:t xml:space="preserve"> </w:t>
      </w:r>
      <w:r>
        <w:t xml:space="preserve">YC frames the session around old training and evaluation assumptions breaking as models scale, with talks on data, agent benchmarking, production diffusion language models, and multilingual scaling laws. [14, 15]</w:t>
      </w:r>
    </w:p>
    <w:p>
      <w:pPr>
        <w:numPr>
          <w:ilvl w:val="0"/>
          <w:numId w:val="1001"/>
        </w:numPr>
        <w:pStyle w:val="Compact"/>
      </w:pPr>
      <w:r>
        <w:rPr>
          <w:bCs/>
          <w:b/>
        </w:rPr>
        <w:t xml:space="preserve">Read —</w:t>
      </w:r>
      <w:r>
        <w:rPr>
          <w:bCs/>
          <w:b/>
        </w:rPr>
        <w:t xml:space="preserve"> </w:t>
      </w:r>
      <w:hyperlink r:id="rId26">
        <w:r>
          <w:rPr>
            <w:rStyle w:val="Hyperlink"/>
            <w:bCs/>
            <w:b/>
          </w:rPr>
          <w:t xml:space="preserve">The Pragmatic Engineer’s</w:t>
        </w:r>
        <w:r>
          <w:rPr>
            <w:rStyle w:val="Hyperlink"/>
            <w:bCs/>
            <w:b/>
          </w:rPr>
          <w:t xml:space="preserve"> </w:t>
        </w:r>
        <w:r>
          <w:rPr>
            <w:rStyle w:val="Hyperlink"/>
            <w:bCs/>
            <w:b/>
          </w:rPr>
          <w:t xml:space="preserve">“</w:t>
        </w:r>
        <w:r>
          <w:rPr>
            <w:rStyle w:val="Hyperlink"/>
            <w:bCs/>
            <w:b/>
          </w:rPr>
          <w:t xml:space="preserve">The Pulse: We need to talk about migrations with AI</w:t>
        </w:r>
        <w:r>
          <w:rPr>
            <w:rStyle w:val="Hyperlink"/>
            <w:bCs/>
            <w:b/>
          </w:rPr>
          <w:t xml:space="preserve">”</w:t>
        </w:r>
      </w:hyperlink>
      <w:r>
        <w:rPr>
          <w:bCs/>
          <w:b/>
        </w:rPr>
        <w:t xml:space="preserve">.</w:t>
      </w:r>
      <w:r>
        <w:t xml:space="preserve"> </w:t>
      </w:r>
      <w:r>
        <w:t xml:space="preserve">Asana completed a large Enzyme test migration in two weeks with AI, while Airbnb and Uber report similar experiences; the same issue questions whether legacy-vendor rankings retain influence as AI-native tools emerge. [16]</w:t>
      </w:r>
    </w:p>
    <w:p>
      <w:pPr>
        <w:numPr>
          <w:ilvl w:val="0"/>
          <w:numId w:val="1001"/>
        </w:numPr>
        <w:pStyle w:val="Compact"/>
      </w:pPr>
      <w:r>
        <w:rPr>
          <w:bCs/>
          <w:b/>
        </w:rPr>
        <w:t xml:space="preserve">Read —</w:t>
      </w:r>
      <w:r>
        <w:rPr>
          <w:bCs/>
          <w:b/>
        </w:rPr>
        <w:t xml:space="preserve"> </w:t>
      </w:r>
      <w:hyperlink r:id="rId27">
        <w:r>
          <w:rPr>
            <w:rStyle w:val="Hyperlink"/>
            <w:bCs/>
            <w:b/>
          </w:rPr>
          <w:t xml:space="preserve">a16z’s</w:t>
        </w:r>
        <w:r>
          <w:rPr>
            <w:rStyle w:val="Hyperlink"/>
            <w:bCs/>
            <w:b/>
          </w:rPr>
          <w:t xml:space="preserve"> </w:t>
        </w:r>
        <w:r>
          <w:rPr>
            <w:rStyle w:val="Hyperlink"/>
            <w:bCs/>
            <w:b/>
          </w:rPr>
          <w:t xml:space="preserve">“</w:t>
        </w:r>
        <w:r>
          <w:rPr>
            <w:rStyle w:val="Hyperlink"/>
            <w:bCs/>
            <w:b/>
          </w:rPr>
          <w:t xml:space="preserve">Rise of the Borderless Founder</w:t>
        </w:r>
        <w:r>
          <w:rPr>
            <w:rStyle w:val="Hyperlink"/>
            <w:bCs/>
            <w:b/>
          </w:rPr>
          <w:t xml:space="preserve">”</w:t>
        </w:r>
      </w:hyperlink>
      <w:r>
        <w:rPr>
          <w:bCs/>
          <w:b/>
        </w:rPr>
        <w:t xml:space="preserve">.</w:t>
      </w:r>
      <w:r>
        <w:t xml:space="preserve"> </w:t>
      </w:r>
      <w:r>
        <w:t xml:space="preserve">A practical sourcing and portfolio-support playbook for country networks, diaspora distribution, and repeat founders. [3]</w:t>
      </w:r>
    </w:p>
    <w:p>
      <w:r>
        <w:pict>
          <v:rect style="width:0;height:1.5pt" o:hralign="center" o:hrstd="t" o:hr="t"/>
        </w:pict>
      </w:r>
    </w:p>
    <w:bookmarkStart w:id="41" w:name="sources"/>
    <w:p>
      <w:pPr>
        <w:pStyle w:val="Heading3"/>
      </w:pPr>
      <w:r>
        <w:t xml:space="preserve">Sources</w:t>
      </w:r>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@AssilHalimi</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@AnySignal_Space</w:t>
        </w:r>
      </w:hyperlink>
    </w:p>
    <w:p>
      <w:pPr>
        <w:numPr>
          <w:ilvl w:val="0"/>
          <w:numId w:val="1002"/>
        </w:numPr>
        <w:pStyle w:val="Compact"/>
      </w:pPr>
      <w:hyperlink r:id="rId27">
        <w:r>
          <w:rPr>
            <w:rStyle w:val="Hyperlink"/>
          </w:rPr>
          <w:t xml:space="preserve">𝕏 article by</w:t>
        </w:r>
        <w:r>
          <w:rPr>
            <w:rStyle w:val="Hyperlink"/>
          </w:rPr>
          <w:t xml:space="preserve"> </w:t>
        </w:r>
        <w:r>
          <w:rPr>
            <w:rStyle w:val="Hyperlink"/>
          </w:rPr>
          <w:t xml:space="preserve">@GEVS94</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@joshim5</w:t>
        </w:r>
      </w:hyperlink>
    </w:p>
    <w:p>
      <w:pPr>
        <w:numPr>
          <w:ilvl w:val="0"/>
          <w:numId w:val="1002"/>
        </w:numPr>
        <w:pStyle w:val="Compact"/>
      </w:pPr>
      <w:hyperlink r:id="rId24">
        <w:r>
          <w:rPr>
            <w:rStyle w:val="Hyperlink"/>
          </w:rPr>
          <w:t xml:space="preserve">𝕏 article by</w:t>
        </w:r>
        <w:r>
          <w:rPr>
            <w:rStyle w:val="Hyperlink"/>
          </w:rPr>
          <w:t xml:space="preserve"> </w:t>
        </w:r>
        <w:r>
          <w:rPr>
            <w:rStyle w:val="Hyperlink"/>
          </w:rPr>
          <w:t xml:space="preserve">@gabepereyra</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@perplexitydevs</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@bindureddy</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@jeffreyhuber</w:t>
        </w:r>
      </w:hyperlink>
    </w:p>
    <w:p>
      <w:pPr>
        <w:numPr>
          <w:ilvl w:val="0"/>
          <w:numId w:val="1002"/>
        </w:numPr>
        <w:pStyle w:val="Compact"/>
      </w:pPr>
      <w:hyperlink r:id="rId34">
        <w:r>
          <w:rPr>
            <w:rStyle w:val="Hyperlink"/>
          </w:rPr>
          <w:t xml:space="preserve">Vertical B2B Leader Owner Acclerated After $100M ARR With Agents. The Key Insight: Every Time a Customer Logs In, Owner Has Failed.</w:t>
        </w:r>
      </w:hyperlink>
    </w:p>
    <w:p>
      <w:pPr>
        <w:numPr>
          <w:ilvl w:val="0"/>
          <w:numId w:val="1002"/>
        </w:numPr>
        <w:pStyle w:val="Compact"/>
      </w:pPr>
      <w:hyperlink r:id="rId35">
        <w:r>
          <w:rPr>
            <w:rStyle w:val="Hyperlink"/>
          </w:rPr>
          <w:t xml:space="preserve">The Pulse: Meta’s self-inflicted resignation-wave</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@saranormous</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@TechCrunch</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@Jason</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@ycombinator</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@ycombinator</w:t>
        </w:r>
      </w:hyperlink>
    </w:p>
    <w:p>
      <w:pPr>
        <w:numPr>
          <w:ilvl w:val="0"/>
          <w:numId w:val="1002"/>
        </w:numPr>
        <w:pStyle w:val="Compact"/>
      </w:pPr>
      <w:hyperlink r:id="rId26">
        <w:r>
          <w:rPr>
            <w:rStyle w:val="Hyperlink"/>
          </w:rPr>
          <w:t xml:space="preserve">The Pulse: We need to talk about migrations with AI</w:t>
        </w:r>
      </w:hyperlink>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5" Target="https://blog.pragmaticengineer.com/the-pulse-metas-self-inflicted-resignation-wave" TargetMode="External" /><Relationship Type="http://schemas.openxmlformats.org/officeDocument/2006/relationships/hyperlink" Id="rId26" Target="https://newsletter.pragmaticengineer.com/p/the-pulse-we-need-to-talk-about-migrations" TargetMode="External" /><Relationship Type="http://schemas.openxmlformats.org/officeDocument/2006/relationships/hyperlink" Id="rId34" Target="https://www.saastr.com/vertical-b2b-leader-owner-acclerated-after-100m-arr-with-agents-the-key-insight-every-time-a-customer-logs-in-owner-has-failed" TargetMode="External" /><Relationship Type="http://schemas.openxmlformats.org/officeDocument/2006/relationships/hyperlink" Id="rId29" Target="https://x.com/AnySignal_Space/status/2090490550776680681" TargetMode="External" /><Relationship Type="http://schemas.openxmlformats.org/officeDocument/2006/relationships/hyperlink" Id="rId28" Target="https://x.com/AssilHalimi/status/2090426148454846813" TargetMode="External" /><Relationship Type="http://schemas.openxmlformats.org/officeDocument/2006/relationships/hyperlink" Id="rId38" Target="https://x.com/Jason/status/2090624465029746801" TargetMode="External" /><Relationship Type="http://schemas.openxmlformats.org/officeDocument/2006/relationships/hyperlink" Id="rId37" Target="https://x.com/TechCrunch/status/2090596016944758914" TargetMode="External" /><Relationship Type="http://schemas.openxmlformats.org/officeDocument/2006/relationships/hyperlink" Id="rId32" Target="https://x.com/bindureddy/status/2090666293691400328" TargetMode="External" /><Relationship Type="http://schemas.openxmlformats.org/officeDocument/2006/relationships/hyperlink" Id="rId24" Target="https://x.com/i/article/2090114065729503232" TargetMode="External" /><Relationship Type="http://schemas.openxmlformats.org/officeDocument/2006/relationships/hyperlink" Id="rId27" Target="https://x.com/i/article/2090312984950403072" TargetMode="External" /><Relationship Type="http://schemas.openxmlformats.org/officeDocument/2006/relationships/hyperlink" Id="rId33" Target="https://x.com/jeffreyhuber/status/2090466566743974191" TargetMode="External" /><Relationship Type="http://schemas.openxmlformats.org/officeDocument/2006/relationships/hyperlink" Id="rId30" Target="https://x.com/joshim5/status/2090430757294796939" TargetMode="External" /><Relationship Type="http://schemas.openxmlformats.org/officeDocument/2006/relationships/hyperlink" Id="rId31" Target="https://x.com/perplexitydevs/status/2090574884632150323" TargetMode="External" /><Relationship Type="http://schemas.openxmlformats.org/officeDocument/2006/relationships/hyperlink" Id="rId36" Target="https://x.com/saranormous/status/2090655089077977130" TargetMode="External" /><Relationship Type="http://schemas.openxmlformats.org/officeDocument/2006/relationships/hyperlink" Id="rId39" Target="https://x.com/ycombinator/status/2090469857196421497" TargetMode="External" /><Relationship Type="http://schemas.openxmlformats.org/officeDocument/2006/relationships/hyperlink" Id="rId40" Target="https://x.com/ycombinator/status/2090469862028280300" TargetMode="External" /><Relationship Type="http://schemas.openxmlformats.org/officeDocument/2006/relationships/hyperlink" Id="rId25" Target="https://youtu.be/IfoPg2QefF8" TargetMode="External" /></Relationships>
</file>

<file path=word/_rels/footnotes.xml.rels><?xml version="1.0" encoding="UTF-8"?><Relationships xmlns="http://schemas.openxmlformats.org/package/2006/relationships"><Relationship Type="http://schemas.openxmlformats.org/officeDocument/2006/relationships/hyperlink" Id="rId35" Target="https://blog.pragmaticengineer.com/the-pulse-metas-self-inflicted-resignation-wave" TargetMode="External" /><Relationship Type="http://schemas.openxmlformats.org/officeDocument/2006/relationships/hyperlink" Id="rId26" Target="https://newsletter.pragmaticengineer.com/p/the-pulse-we-need-to-talk-about-migrations" TargetMode="External" /><Relationship Type="http://schemas.openxmlformats.org/officeDocument/2006/relationships/hyperlink" Id="rId34" Target="https://www.saastr.com/vertical-b2b-leader-owner-acclerated-after-100m-arr-with-agents-the-key-insight-every-time-a-customer-logs-in-owner-has-failed" TargetMode="External" /><Relationship Type="http://schemas.openxmlformats.org/officeDocument/2006/relationships/hyperlink" Id="rId29" Target="https://x.com/AnySignal_Space/status/2090490550776680681" TargetMode="External" /><Relationship Type="http://schemas.openxmlformats.org/officeDocument/2006/relationships/hyperlink" Id="rId28" Target="https://x.com/AssilHalimi/status/2090426148454846813" TargetMode="External" /><Relationship Type="http://schemas.openxmlformats.org/officeDocument/2006/relationships/hyperlink" Id="rId38" Target="https://x.com/Jason/status/2090624465029746801" TargetMode="External" /><Relationship Type="http://schemas.openxmlformats.org/officeDocument/2006/relationships/hyperlink" Id="rId37" Target="https://x.com/TechCrunch/status/2090596016944758914" TargetMode="External" /><Relationship Type="http://schemas.openxmlformats.org/officeDocument/2006/relationships/hyperlink" Id="rId32" Target="https://x.com/bindureddy/status/2090666293691400328" TargetMode="External" /><Relationship Type="http://schemas.openxmlformats.org/officeDocument/2006/relationships/hyperlink" Id="rId24" Target="https://x.com/i/article/2090114065729503232" TargetMode="External" /><Relationship Type="http://schemas.openxmlformats.org/officeDocument/2006/relationships/hyperlink" Id="rId27" Target="https://x.com/i/article/2090312984950403072" TargetMode="External" /><Relationship Type="http://schemas.openxmlformats.org/officeDocument/2006/relationships/hyperlink" Id="rId33" Target="https://x.com/jeffreyhuber/status/2090466566743974191" TargetMode="External" /><Relationship Type="http://schemas.openxmlformats.org/officeDocument/2006/relationships/hyperlink" Id="rId30" Target="https://x.com/joshim5/status/2090430757294796939" TargetMode="External" /><Relationship Type="http://schemas.openxmlformats.org/officeDocument/2006/relationships/hyperlink" Id="rId31" Target="https://x.com/perplexitydevs/status/2090574884632150323" TargetMode="External" /><Relationship Type="http://schemas.openxmlformats.org/officeDocument/2006/relationships/hyperlink" Id="rId36" Target="https://x.com/saranormous/status/2090655089077977130" TargetMode="External" /><Relationship Type="http://schemas.openxmlformats.org/officeDocument/2006/relationships/hyperlink" Id="rId39" Target="https://x.com/ycombinator/status/2090469857196421497" TargetMode="External" /><Relationship Type="http://schemas.openxmlformats.org/officeDocument/2006/relationships/hyperlink" Id="rId40" Target="https://x.com/ycombinator/status/2090469862028280300" TargetMode="External" /><Relationship Type="http://schemas.openxmlformats.org/officeDocument/2006/relationships/hyperlink" Id="rId25" Target="https://youtu.be/IfoPg2QefF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Specialized Intelligence Becomes the Moat as Compute Tightens</dc:title>
  <dc:creator>VC Tech Radar</dc:creator>
  <cp:keywords/>
  <dcterms:created xsi:type="dcterms:W3CDTF">2026-08-21T16:12:20Z</dcterms:created>
  <dcterms:modified xsi:type="dcterms:W3CDTF">2026-08-21T16:12:20Z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2026-08-21</vt:lpwstr>
  </property>
</Properties>
</file>