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01.jpg" ContentType="image/jpeg"/>
  <Override PartName="/word/media/rId9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Stateful agent runs (WebSockets), Codex on Windows, and skills-driven harnesses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2026-03-05</w:t>
      </w:r>
    </w:p>
    <w:bookmarkStart w:id="126" w:name="X7a547ab27a9bb569cf86f24d4de1b254c2d4eaf"/>
    <w:p>
      <w:pPr>
        <w:pStyle w:val="Heading1"/>
      </w:pPr>
      <w:r>
        <w:t xml:space="preserve">Stateful agent runs (WebSockets), Codex on Windows, and skills-driven harnesses</w:t>
      </w:r>
    </w:p>
    <w:p>
      <w:pPr>
        <w:pStyle w:val="FirstParagraph"/>
      </w:pPr>
      <w:r>
        <w:rPr>
          <w:iCs/>
          <w:i/>
        </w:rPr>
        <w:t xml:space="preserve">By Coding Agents Alpha Tracker • March 5, 2026</w:t>
      </w:r>
    </w:p>
    <w:p>
      <w:pPr>
        <w:pStyle w:val="BodyText"/>
      </w:pPr>
      <w:r>
        <w:t xml:space="preserve">A dense brief on what’s actually moving the needle for coding agents: OpenAI’s WebSockets approach to cut tool-call overhead, Codex’s new Windows app + sandboxing, and the growing</w:t>
      </w:r>
      <w:r>
        <w:t xml:space="preserve"> </w:t>
      </w:r>
      <w:r>
        <w:t xml:space="preserve">“</w:t>
      </w:r>
      <w:r>
        <w:t xml:space="preserve">skills + traces + evals</w:t>
      </w:r>
      <w:r>
        <w:t xml:space="preserve">”</w:t>
      </w:r>
      <w:r>
        <w:t xml:space="preserve"> </w:t>
      </w:r>
      <w:r>
        <w:t xml:space="preserve">ecosystem that turns agents into repeatable workflows. Plus: production patterns from Anthropic’s Claude Code and hard-earned PR hygiene rules for agent-generated code.</w:t>
      </w:r>
    </w:p>
    <w:bookmarkStart w:id="25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OpenAI’s new</w:t>
      </w:r>
      <w:r>
        <w:t xml:space="preserve"> </w:t>
      </w:r>
      <w:r>
        <w:rPr>
          <w:bCs/>
          <w:b/>
        </w:rPr>
        <w:t xml:space="preserve">WebSockets API for agentic runs</w:t>
      </w:r>
      <w:r>
        <w:t xml:space="preserve"> </w:t>
      </w:r>
      <w:r>
        <w:t xml:space="preserve">is a real infrastructure unlock: keep a persistent connection to the same server so you can send</w:t>
      </w:r>
      <w:r>
        <w:t xml:space="preserve"> </w:t>
      </w:r>
      <w:r>
        <w:rPr>
          <w:bCs/>
          <w:b/>
        </w:rPr>
        <w:t xml:space="preserve">only new inputs</w:t>
      </w:r>
      <w:r>
        <w:t xml:space="preserve"> </w:t>
      </w:r>
      <w:r>
        <w:t xml:space="preserve">(e.g., tool results) instead of resending the</w:t>
      </w:r>
      <w:r>
        <w:t xml:space="preserve"> </w:t>
      </w:r>
      <w:r>
        <w:rPr>
          <w:bCs/>
          <w:b/>
        </w:rPr>
        <w:t xml:space="preserve">entire conversation history on every tool call</w:t>
      </w:r>
      <w:r>
        <w:t xml:space="preserve"> </w:t>
      </w:r>
      <w:r>
        <w:rPr>
          <w:rStyle w:val="FootnoteReference"/>
        </w:rPr>
        <w:footnoteReference w:id="20"/>
      </w:r>
      <w:r>
        <w:rPr>
          <w:rStyle w:val="FootnoteReference"/>
        </w:rPr>
        <w:footnoteReference w:id="22"/>
      </w:r>
      <w:r>
        <w:t xml:space="preserve">. Theo estimates this cuts bandwidth by</w:t>
      </w:r>
      <w:r>
        <w:t xml:space="preserve"> </w:t>
      </w:r>
      <w:r>
        <w:rPr>
          <w:bCs/>
          <w:b/>
        </w:rPr>
        <w:t xml:space="preserve">90%+</w:t>
      </w:r>
      <w:r>
        <w:t xml:space="preserve"> </w:t>
      </w:r>
      <w:r>
        <w:t xml:space="preserve">and improves speed by</w:t>
      </w:r>
      <w:r>
        <w:t xml:space="preserve"> </w:t>
      </w:r>
      <w:r>
        <w:rPr>
          <w:bCs/>
          <w:b/>
        </w:rPr>
        <w:t xml:space="preserve">20–30%</w:t>
      </w:r>
      <w:r>
        <w:t xml:space="preserve"> </w:t>
      </w:r>
      <w:r>
        <w:t xml:space="preserve">(and</w:t>
      </w:r>
      <w:r>
        <w:t xml:space="preserve"> </w:t>
      </w:r>
      <w:r>
        <w:rPr>
          <w:bCs/>
          <w:b/>
        </w:rPr>
        <w:t xml:space="preserve">20–40%</w:t>
      </w:r>
      <w:r>
        <w:t xml:space="preserve"> </w:t>
      </w:r>
      <w:r>
        <w:t xml:space="preserve">on runs with 20+ tool calls)</w:t>
      </w:r>
      <w:r>
        <w:t xml:space="preserve"> </w:t>
      </w:r>
      <w:r>
        <w:rPr>
          <w:rStyle w:val="FootnoteReference"/>
        </w:rPr>
        <w:footnoteReference w:id="23"/>
      </w:r>
      <w:r>
        <w:rPr>
          <w:rStyle w:val="FootnoteReference"/>
        </w:rPr>
        <w:footnoteReference w:id="24"/>
      </w:r>
      <w:r>
        <w:t xml:space="preserve">.</w:t>
      </w:r>
    </w:p>
    <w:bookmarkEnd w:id="25"/>
    <w:bookmarkStart w:id="59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OpenAI — WebSockets for tool-call-heavy agents</w:t>
      </w:r>
    </w:p>
    <w:p>
      <w:pPr>
        <w:numPr>
          <w:ilvl w:val="1"/>
          <w:numId w:val="1002"/>
        </w:numPr>
        <w:pStyle w:val="Compact"/>
      </w:pPr>
      <w:r>
        <w:t xml:space="preserve">Why it matters: in the typical stateless flow,</w:t>
      </w:r>
      <w:r>
        <w:t xml:space="preserve"> </w:t>
      </w:r>
      <w:r>
        <w:rPr>
          <w:iCs/>
          <w:i/>
        </w:rPr>
        <w:t xml:space="preserve">every tool completion</w:t>
      </w:r>
      <w:r>
        <w:t xml:space="preserve"> </w:t>
      </w:r>
      <w:r>
        <w:t xml:space="preserve">triggers a new API call that resends</w:t>
      </w:r>
      <w:r>
        <w:t xml:space="preserve"> </w:t>
      </w:r>
      <w:r>
        <w:rPr>
          <w:iCs/>
          <w:i/>
        </w:rPr>
        <w:t xml:space="preserve">all prior messages/tool calls</w:t>
      </w:r>
      <w:r>
        <w:t xml:space="preserve"> </w:t>
      </w:r>
      <w:r>
        <w:t xml:space="preserve">so the model can continue</w:t>
      </w:r>
      <w:r>
        <w:t xml:space="preserve"> </w:t>
      </w:r>
      <w:r>
        <w:rPr>
          <w:rStyle w:val="FootnoteReference"/>
        </w:rPr>
        <w:footnoteReference w:id="26"/>
      </w:r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WebSockets are positioned as a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hit the same box</w:t>
      </w:r>
      <w:r>
        <w:rPr>
          <w:iCs/>
          <w:i/>
        </w:rPr>
        <w:t xml:space="preserve">”</w:t>
      </w:r>
      <w:r>
        <w:t xml:space="preserve"> </w:t>
      </w:r>
      <w:r>
        <w:t xml:space="preserve">guarantee, so you don’t keep re-checking auth / reloading state / reshipping context during a single long generation</w:t>
      </w:r>
      <w:r>
        <w:t xml:space="preserve"> </w:t>
      </w:r>
      <w:r>
        <w:rPr>
          <w:rStyle w:val="FootnoteReference"/>
        </w:rPr>
        <w:footnoteReference w:id="27"/>
      </w:r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Practical caveat: Theo says the benefit is</w:t>
      </w:r>
      <w:r>
        <w:t xml:space="preserve"> </w:t>
      </w:r>
      <w:r>
        <w:rPr>
          <w:bCs/>
          <w:b/>
        </w:rPr>
        <w:t xml:space="preserve">not huge for typical chat</w:t>
      </w:r>
      <w:r>
        <w:t xml:space="preserve">, but is big when</w:t>
      </w:r>
      <w:r>
        <w:t xml:space="preserve"> </w:t>
      </w:r>
      <w:r>
        <w:rPr>
          <w:bCs/>
          <w:b/>
        </w:rPr>
        <w:t xml:space="preserve">one user message spawns hundreds of tool calls</w:t>
      </w:r>
      <w:r>
        <w:t xml:space="preserve"> </w:t>
      </w:r>
      <w:r>
        <w:rPr>
          <w:rStyle w:val="FootnoteReference"/>
        </w:rPr>
        <w:footnoteReference w:id="28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OpenAI Codex app — now on Windows (native + WSL)</w:t>
      </w:r>
    </w:p>
    <w:p>
      <w:pPr>
        <w:numPr>
          <w:ilvl w:val="1"/>
          <w:numId w:val="1003"/>
        </w:numPr>
        <w:pStyle w:val="Compact"/>
      </w:pPr>
      <w:r>
        <w:t xml:space="preserve">Available on Windows with a</w:t>
      </w:r>
      <w:r>
        <w:t xml:space="preserve"> </w:t>
      </w:r>
      <w:r>
        <w:rPr>
          <w:bCs/>
          <w:b/>
        </w:rPr>
        <w:t xml:space="preserve">native agent sandbox</w:t>
      </w:r>
      <w:r>
        <w:t xml:space="preserve"> </w:t>
      </w:r>
      <w:r>
        <w:t xml:space="preserve">and PowerShell support</w:t>
      </w:r>
      <w:r>
        <w:t xml:space="preserve"> </w:t>
      </w:r>
      <w:r>
        <w:rPr>
          <w:rStyle w:val="FootnoteReference"/>
        </w:rPr>
        <w:footnoteReference w:id="29"/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Runs</w:t>
      </w:r>
      <w:r>
        <w:t xml:space="preserve"> </w:t>
      </w:r>
      <w:r>
        <w:rPr>
          <w:bCs/>
          <w:b/>
        </w:rPr>
        <w:t xml:space="preserve">natively and in WSL</w:t>
      </w:r>
      <w:r>
        <w:t xml:space="preserve"> </w:t>
      </w:r>
      <w:r>
        <w:t xml:space="preserve">with integrated terminals (PowerShell, Command Prompt, Git Bash, WSL)</w:t>
      </w:r>
      <w:r>
        <w:t xml:space="preserve"> </w:t>
      </w:r>
      <w:r>
        <w:rPr>
          <w:rStyle w:val="FootnoteReference"/>
        </w:rPr>
        <w:footnoteReference w:id="31"/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Sandbox controls: blocks filesystem writes outside your working folder and blocks outbound network access unless you explicitly approve it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Adds</w:t>
      </w:r>
      <w:r>
        <w:t xml:space="preserve"> </w:t>
      </w:r>
      <w:r>
        <w:rPr>
          <w:bCs/>
          <w:b/>
        </w:rPr>
        <w:t xml:space="preserve">2 Windows skills</w:t>
      </w:r>
      <w:r>
        <w:t xml:space="preserve"> </w:t>
      </w:r>
      <w:r>
        <w:t xml:space="preserve">(WinUI + ASP.NET) and</w:t>
      </w:r>
      <w:r>
        <w:t xml:space="preserve"> </w:t>
      </w:r>
      <w:r>
        <w:rPr>
          <w:bCs/>
          <w:b/>
        </w:rPr>
        <w:t xml:space="preserve">7 new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Open in …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apps</w:t>
      </w:r>
      <w:r>
        <w:t xml:space="preserve"> </w:t>
      </w:r>
      <w:r>
        <w:rPr>
          <w:rStyle w:val="FootnoteReference"/>
        </w:rPr>
        <w:footnoteReference w:id="34"/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Download: https://apps.microsoft.com/detail/9plm9xgg6vks?hl=en-US&amp;gl=US</w:t>
      </w:r>
      <w:r>
        <w:t xml:space="preserve"> </w:t>
      </w:r>
      <w:r>
        <w:rPr>
          <w:rStyle w:val="FootnoteReference"/>
        </w:rPr>
        <w:footnoteReference w:id="35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 (Plus/Pro) — rate-limit promo bug fixed</w:t>
      </w:r>
    </w:p>
    <w:p>
      <w:pPr>
        <w:numPr>
          <w:ilvl w:val="1"/>
          <w:numId w:val="1004"/>
        </w:numPr>
        <w:pStyle w:val="Compact"/>
      </w:pPr>
      <w:r>
        <w:t xml:space="preserve">OpenAI fixed an issue where the</w:t>
      </w:r>
      <w:r>
        <w:t xml:space="preserve"> </w:t>
      </w:r>
      <w:r>
        <w:rPr>
          <w:bCs/>
          <w:b/>
        </w:rPr>
        <w:t xml:space="preserve">2× promotional limit increase</w:t>
      </w:r>
      <w:r>
        <w:t xml:space="preserve"> </w:t>
      </w:r>
      <w:r>
        <w:t xml:space="preserve">wasn’t applied to an estimated</w:t>
      </w:r>
      <w:r>
        <w:t xml:space="preserve"> </w:t>
      </w:r>
      <w:r>
        <w:rPr>
          <w:bCs/>
          <w:b/>
        </w:rPr>
        <w:t xml:space="preserve">9%</w:t>
      </w:r>
      <w:r>
        <w:t xml:space="preserve"> </w:t>
      </w:r>
      <w:r>
        <w:t xml:space="preserve">of Plus/Pro users; they reset rate limits for all Plus/Pro as compensation</w:t>
      </w:r>
      <w:r>
        <w:t xml:space="preserve"> </w:t>
      </w:r>
      <w:r>
        <w:rPr>
          <w:rStyle w:val="FootnoteReference"/>
        </w:rPr>
        <w:footnoteReference w:id="37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Cursor — now in JetBrains via Agent Client Protocol</w:t>
      </w:r>
    </w:p>
    <w:p>
      <w:pPr>
        <w:numPr>
          <w:ilvl w:val="1"/>
          <w:numId w:val="1005"/>
        </w:numPr>
        <w:pStyle w:val="Compact"/>
      </w:pPr>
      <w:r>
        <w:t xml:space="preserve">Cursor says it’s now available in JetBrains IDEs through ACP</w:t>
      </w:r>
      <w:r>
        <w:t xml:space="preserve"> </w:t>
      </w:r>
      <w:r>
        <w:rPr>
          <w:rStyle w:val="FootnoteReference"/>
        </w:rPr>
        <w:footnoteReference w:id="39"/>
      </w:r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Details: http://cursor.com/blog/jetbrains-acp</w:t>
      </w:r>
      <w:r>
        <w:t xml:space="preserve"> </w:t>
      </w:r>
      <w:r>
        <w:rPr>
          <w:rStyle w:val="FootnoteReference"/>
        </w:rPr>
        <w:footnoteReference w:id="41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LangChain —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skills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packages for coding agents (progressive disclosure)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LangChain skills</w:t>
      </w:r>
      <w:r>
        <w:t xml:space="preserve">: 11 skills across LangChain/LangGraph/Deep Agents, intended to be dynamically loaded</w:t>
      </w:r>
      <w:r>
        <w:t xml:space="preserve"> </w:t>
      </w:r>
      <w:r>
        <w:rPr>
          <w:iCs/>
          <w:i/>
        </w:rPr>
        <w:t xml:space="preserve">only when relevant</w:t>
      </w:r>
      <w:r>
        <w:t xml:space="preserve"> </w:t>
      </w:r>
      <w:r>
        <w:t xml:space="preserve">to avoid tool overload degrading performance</w:t>
      </w:r>
      <w:r>
        <w:t xml:space="preserve"> </w:t>
      </w:r>
      <w:r>
        <w:rPr>
          <w:rStyle w:val="FootnoteReference"/>
        </w:rPr>
        <w:footnoteReference w:id="42"/>
      </w:r>
      <w:r>
        <w:rPr>
          <w:rStyle w:val="FootnoteReference"/>
        </w:rPr>
        <w:footnoteReference w:id="44"/>
      </w:r>
      <w:r>
        <w:rPr>
          <w:rStyle w:val="FootnoteReference"/>
        </w:rPr>
        <w:footnoteReference w:id="45"/>
      </w:r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Claimed eval bump for Claude Code on LangChain ecosystem tasks:</w:t>
      </w:r>
      <w:r>
        <w:t xml:space="preserve"> </w:t>
      </w:r>
      <w:r>
        <w:rPr>
          <w:bCs/>
          <w:b/>
        </w:rPr>
        <w:t xml:space="preserve">29% → 95%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. Repo: https://github.com/langchain-ai/langchain-skills</w:t>
      </w:r>
      <w:r>
        <w:t xml:space="preserve"> </w:t>
      </w:r>
      <w:r>
        <w:rPr>
          <w:rStyle w:val="FootnoteReference"/>
        </w:rPr>
        <w:footnoteReference w:id="47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LangChain — LangSmith CLI + Skills</w:t>
      </w:r>
    </w:p>
    <w:p>
      <w:pPr>
        <w:numPr>
          <w:ilvl w:val="1"/>
          <w:numId w:val="1007"/>
        </w:numPr>
        <w:pStyle w:val="Compact"/>
      </w:pPr>
      <w:r>
        <w:t xml:space="preserve">LangSmith CLI is described as</w:t>
      </w:r>
      <w:r>
        <w:t xml:space="preserve"> </w:t>
      </w:r>
      <w:r>
        <w:t xml:space="preserve">“</w:t>
      </w:r>
      <w:r>
        <w:t xml:space="preserve">agent-native</w:t>
      </w:r>
      <w:r>
        <w:t xml:space="preserve">”</w:t>
      </w:r>
      <w:r>
        <w:t xml:space="preserve"> </w:t>
      </w:r>
      <w:r>
        <w:t xml:space="preserve">for traces/datasets/experiments, designed to be used through the terminal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Claimed eval bump for Claude Code (Sonnet 4.6) on LangSmith tasks:</w:t>
      </w:r>
      <w:r>
        <w:t xml:space="preserve"> </w:t>
      </w:r>
      <w:r>
        <w:rPr>
          <w:bCs/>
          <w:b/>
        </w:rPr>
        <w:t xml:space="preserve">17% → 92%</w:t>
      </w:r>
      <w:r>
        <w:t xml:space="preserve"> </w:t>
      </w:r>
      <w:r>
        <w:rPr>
          <w:rStyle w:val="FootnoteReference"/>
        </w:rPr>
        <w:footnoteReference w:id="50"/>
      </w:r>
      <w:r>
        <w:rPr>
          <w:rStyle w:val="FootnoteReference"/>
        </w:rPr>
        <w:footnoteReference w:id="51"/>
      </w:r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CLI repo: https://github.com/langchain-ai/langsmith-cli</w:t>
      </w:r>
      <w:r>
        <w:t xml:space="preserve"> </w:t>
      </w:r>
      <w:r>
        <w:rPr>
          <w:rStyle w:val="FootnoteReference"/>
        </w:rPr>
        <w:footnoteReference w:id="52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 5.3 (xhigh) — notable model-level win vs Opus 4.6 (anecdote)</w:t>
      </w:r>
    </w:p>
    <w:p>
      <w:pPr>
        <w:numPr>
          <w:ilvl w:val="1"/>
          <w:numId w:val="1008"/>
        </w:numPr>
        <w:pStyle w:val="Compact"/>
      </w:pPr>
      <w:r>
        <w:t xml:space="preserve">Mitchell Hashimoto reports Codex 5.3 (xhigh) fixed a bug that had resisted engineers for</w:t>
      </w:r>
      <w:r>
        <w:t xml:space="preserve"> </w:t>
      </w:r>
      <w:r>
        <w:rPr>
          <w:bCs/>
          <w:b/>
        </w:rPr>
        <w:t xml:space="preserve">6 months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45 minutes</w:t>
      </w:r>
      <w:r>
        <w:t xml:space="preserve"> </w:t>
      </w:r>
      <w:r>
        <w:t xml:space="preserve">for</w:t>
      </w:r>
      <w:r>
        <w:t xml:space="preserve"> </w:t>
      </w:r>
      <w:r>
        <w:rPr>
          <w:bCs/>
          <w:b/>
        </w:rPr>
        <w:t xml:space="preserve">$4.14</w:t>
      </w:r>
      <w:r>
        <w:t xml:space="preserve">; he notes</w:t>
      </w:r>
      <w:r>
        <w:t xml:space="preserve"> </w:t>
      </w:r>
      <w:r>
        <w:rPr>
          <w:bCs/>
          <w:b/>
        </w:rPr>
        <w:t xml:space="preserve">Opus 4.6 failed</w:t>
      </w:r>
      <w:r>
        <w:t xml:space="preserve"> </w:t>
      </w:r>
      <w:r>
        <w:t xml:space="preserve">and lower Codex reasoning levels failed</w:t>
      </w:r>
      <w:r>
        <w:t xml:space="preserve"> </w:t>
      </w:r>
      <w:r>
        <w:rPr>
          <w:rStyle w:val="FootnoteReference"/>
        </w:rPr>
        <w:footnoteReference w:id="53"/>
      </w:r>
      <w:r>
        <w:t xml:space="preserve">.</w:t>
      </w:r>
    </w:p>
    <w:p>
      <w:pPr>
        <w:numPr>
          <w:ilvl w:val="1"/>
          <w:numId w:val="1008"/>
        </w:numPr>
        <w:pStyle w:val="Compact"/>
      </w:pPr>
      <w:r>
        <w:t xml:space="preserve">He says a key difference was Codex (xhigh) eventually</w:t>
      </w:r>
      <w:r>
        <w:t xml:space="preserve"> </w:t>
      </w:r>
      <w:r>
        <w:rPr>
          <w:bCs/>
          <w:b/>
        </w:rPr>
        <w:t xml:space="preserve">read GTK4 source code</w:t>
      </w:r>
      <w:r>
        <w:t xml:space="preserve">, which other runs didn’t do</w:t>
      </w:r>
      <w:r>
        <w:t xml:space="preserve"> </w:t>
      </w:r>
      <w:r>
        <w:rPr>
          <w:rStyle w:val="FootnoteReference"/>
        </w:rPr>
        <w:footnoteReference w:id="55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Qwen 3.5 — open-weight model family (practitioner testing signal)</w:t>
      </w:r>
    </w:p>
    <w:p>
      <w:pPr>
        <w:numPr>
          <w:ilvl w:val="1"/>
          <w:numId w:val="1009"/>
        </w:numPr>
        <w:pStyle w:val="Compact"/>
      </w:pPr>
      <w:r>
        <w:t xml:space="preserve">Simon Willison notes Qwen 3.5 shipped a large model (397B-A17B) plus smaller siblings down to 0.8B</w:t>
      </w:r>
      <w:r>
        <w:t xml:space="preserve"> </w:t>
      </w:r>
      <w:r>
        <w:rPr>
          <w:rStyle w:val="FootnoteReference"/>
        </w:rPr>
        <w:footnoteReference w:id="56"/>
      </w:r>
      <w:r>
        <w:t xml:space="preserve">.</w:t>
      </w:r>
    </w:p>
    <w:p>
      <w:pPr>
        <w:numPr>
          <w:ilvl w:val="1"/>
          <w:numId w:val="1009"/>
        </w:numPr>
        <w:pStyle w:val="Compact"/>
      </w:pPr>
      <w:r>
        <w:t xml:space="preserve">He reports positive results for coding from</w:t>
      </w:r>
      <w:r>
        <w:t xml:space="preserve"> </w:t>
      </w:r>
      <w:r>
        <w:rPr>
          <w:bCs/>
          <w:b/>
        </w:rPr>
        <w:t xml:space="preserve">27B/35B</w:t>
      </w:r>
      <w:r>
        <w:t xml:space="preserve">, and that</w:t>
      </w:r>
      <w:r>
        <w:t xml:space="preserve"> </w:t>
      </w:r>
      <w:r>
        <w:rPr>
          <w:bCs/>
          <w:b/>
        </w:rPr>
        <w:t xml:space="preserve">9B/4B/2B</w:t>
      </w:r>
      <w:r>
        <w:t xml:space="preserve"> </w:t>
      </w:r>
      <w:r>
        <w:t xml:space="preserve">were</w:t>
      </w:r>
      <w:r>
        <w:t xml:space="preserve"> </w:t>
      </w:r>
      <w:r>
        <w:t xml:space="preserve">“</w:t>
      </w:r>
      <w:r>
        <w:t xml:space="preserve">notably effective</w:t>
      </w:r>
      <w:r>
        <w:t xml:space="preserve">”</w:t>
      </w:r>
      <w:r>
        <w:t xml:space="preserve"> </w:t>
      </w:r>
      <w:r>
        <w:t xml:space="preserve">given size</w:t>
      </w:r>
      <w:r>
        <w:t xml:space="preserve"> </w:t>
      </w:r>
      <w:r>
        <w:rPr>
          <w:rStyle w:val="FootnoteReference"/>
        </w:rPr>
        <w:footnoteReference w:id="58"/>
      </w:r>
      <w:r>
        <w:t xml:space="preserve">.</w:t>
      </w:r>
    </w:p>
    <w:bookmarkEnd w:id="59"/>
    <w:bookmarkStart w:id="81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Run parallel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plan mode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tabs, then let the agent one-shot implementation (Anthropic / Claude Code)</w:t>
      </w:r>
    </w:p>
    <w:p>
      <w:pPr>
        <w:numPr>
          <w:ilvl w:val="1"/>
          <w:numId w:val="1011"/>
        </w:numPr>
        <w:pStyle w:val="Compact"/>
      </w:pPr>
      <w:r>
        <w:t xml:space="preserve">Boris Cherny describes a workflow of running multiple Claude Code instances in parallel: start in</w:t>
      </w:r>
      <w:r>
        <w:t xml:space="preserve"> </w:t>
      </w:r>
      <w:r>
        <w:rPr>
          <w:bCs/>
          <w:b/>
        </w:rPr>
        <w:t xml:space="preserve">plan mode</w:t>
      </w:r>
      <w:r>
        <w:t xml:space="preserve">, iterate to get the plan right, then let it implement (often</w:t>
      </w:r>
      <w:r>
        <w:t xml:space="preserve"> </w:t>
      </w:r>
      <w:r>
        <w:t xml:space="preserve">“</w:t>
      </w:r>
      <w:r>
        <w:t xml:space="preserve">one shot</w:t>
      </w:r>
      <w:r>
        <w:t xml:space="preserve">”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.</w:t>
      </w:r>
    </w:p>
    <w:p>
      <w:pPr>
        <w:numPr>
          <w:ilvl w:val="1"/>
          <w:numId w:val="1011"/>
        </w:numPr>
        <w:pStyle w:val="Compact"/>
      </w:pPr>
      <w:r>
        <w:t xml:space="preserve">He also leans on desktop app</w:t>
      </w:r>
      <w:r>
        <w:t xml:space="preserve"> </w:t>
      </w:r>
      <w:r>
        <w:rPr>
          <w:bCs/>
          <w:b/>
        </w:rPr>
        <w:t xml:space="preserve">worktree support</w:t>
      </w:r>
      <w:r>
        <w:t xml:space="preserve"> </w:t>
      </w:r>
      <w:r>
        <w:t xml:space="preserve">for environment isolation so parallel agents don’t interfere</w:t>
      </w:r>
      <w:r>
        <w:t xml:space="preserve"> </w:t>
      </w:r>
      <w:r>
        <w:rPr>
          <w:rStyle w:val="FootnoteReference"/>
        </w:rPr>
        <w:footnoteReference w:id="62"/>
      </w:r>
      <w:r>
        <w:t xml:space="preserve">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Make the agent test itself (and still keep a human approval gate)</w:t>
      </w:r>
    </w:p>
    <w:p>
      <w:pPr>
        <w:numPr>
          <w:ilvl w:val="1"/>
          <w:numId w:val="1012"/>
        </w:numPr>
        <w:pStyle w:val="Compact"/>
      </w:pPr>
      <w:r>
        <w:t xml:space="preserve">Boris says Claude Code will often run tests locally and may write new tests; when they change Claude Code internally, it will even</w:t>
      </w:r>
      <w:r>
        <w:t xml:space="preserve"> </w:t>
      </w:r>
      <w:r>
        <w:rPr>
          <w:bCs/>
          <w:b/>
        </w:rPr>
        <w:t xml:space="preserve">launch itself as a subprocess</w:t>
      </w:r>
      <w:r>
        <w:t xml:space="preserve"> </w:t>
      </w:r>
      <w:r>
        <w:t xml:space="preserve">to test end-to-end</w:t>
      </w:r>
      <w:r>
        <w:t xml:space="preserve"> </w:t>
      </w:r>
      <w:r>
        <w:rPr>
          <w:rStyle w:val="FootnoteReference"/>
        </w:rPr>
        <w:footnoteReference w:id="63"/>
      </w:r>
      <w:r>
        <w:t xml:space="preserve">.</w:t>
      </w:r>
    </w:p>
    <w:p>
      <w:pPr>
        <w:numPr>
          <w:ilvl w:val="1"/>
          <w:numId w:val="1012"/>
        </w:numPr>
        <w:pStyle w:val="Compact"/>
      </w:pPr>
      <w:r>
        <w:t xml:space="preserve">Anthropic runs Claude Code review in CI as a first-pass reviewer, catching</w:t>
      </w:r>
      <w:r>
        <w:t xml:space="preserve"> </w:t>
      </w:r>
      <w:r>
        <w:t xml:space="preserve">“</w:t>
      </w:r>
      <w:r>
        <w:t xml:space="preserve">maybe</w:t>
      </w:r>
      <w:r>
        <w:t xml:space="preserve"> </w:t>
      </w:r>
      <w:r>
        <w:rPr>
          <w:bCs/>
          <w:b/>
        </w:rPr>
        <w:t xml:space="preserve">~80%</w:t>
      </w:r>
      <w:r>
        <w:t xml:space="preserve"> </w:t>
      </w:r>
      <w:r>
        <w:t xml:space="preserve">of bugs,</w:t>
      </w:r>
      <w:r>
        <w:t xml:space="preserve">”</w:t>
      </w:r>
      <w:r>
        <w:t xml:space="preserve"> </w:t>
      </w:r>
      <w:r>
        <w:t xml:space="preserve">followed by a human reviewer and final human approval</w:t>
      </w:r>
      <w:r>
        <w:t xml:space="preserve"> </w:t>
      </w:r>
      <w:r>
        <w:rPr>
          <w:rStyle w:val="FootnoteReference"/>
        </w:rPr>
        <w:footnoteReference w:id="64"/>
      </w:r>
      <w:r>
        <w:t xml:space="preserve">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Cheap-but-effective codebase search: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glob + grep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beats fancy setups (per Boris)</w:t>
      </w:r>
    </w:p>
    <w:p>
      <w:pPr>
        <w:numPr>
          <w:ilvl w:val="1"/>
          <w:numId w:val="1013"/>
        </w:numPr>
        <w:pStyle w:val="Compact"/>
      </w:pPr>
      <w:r>
        <w:t xml:space="preserve">Boris says their</w:t>
      </w:r>
      <w:r>
        <w:t xml:space="preserve"> </w:t>
      </w:r>
      <w:r>
        <w:t xml:space="preserve">“</w:t>
      </w:r>
      <w:r>
        <w:t xml:space="preserve">Agentix Search</w:t>
      </w:r>
      <w:r>
        <w:t xml:space="preserve">”</w:t>
      </w:r>
      <w:r>
        <w:t xml:space="preserve"> </w:t>
      </w:r>
      <w:r>
        <w:t xml:space="preserve">outperformed everything, and clarifies it’s basically</w:t>
      </w:r>
      <w:r>
        <w:t xml:space="preserve"> </w:t>
      </w:r>
      <w:r>
        <w:rPr>
          <w:bCs/>
          <w:b/>
        </w:rPr>
        <w:t xml:space="preserve">glob and grep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Use uncorrelated context windows + subagents 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test-time compute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(Agent Teams / swarms)</w:t>
      </w:r>
    </w:p>
    <w:p>
      <w:pPr>
        <w:numPr>
          <w:ilvl w:val="1"/>
          <w:numId w:val="1014"/>
        </w:numPr>
        <w:pStyle w:val="Compact"/>
      </w:pPr>
      <w:r>
        <w:t xml:space="preserve">Boris explains</w:t>
      </w:r>
      <w:r>
        <w:t xml:space="preserve"> </w:t>
      </w:r>
      <w:r>
        <w:t xml:space="preserve">“</w:t>
      </w:r>
      <w:r>
        <w:t xml:space="preserve">uncorrelated context windows</w:t>
      </w:r>
      <w:r>
        <w:t xml:space="preserve">”</w:t>
      </w:r>
      <w:r>
        <w:t xml:space="preserve"> </w:t>
      </w:r>
      <w:r>
        <w:t xml:space="preserve">as multiple fresh contexts that don’t share the parent window (beyond the prompt), and says throwing more tokens at uncorrelated windows can yield better results—calling it a form of</w:t>
      </w:r>
      <w:r>
        <w:t xml:space="preserve"> </w:t>
      </w:r>
      <w:r>
        <w:rPr>
          <w:bCs/>
          <w:b/>
        </w:rPr>
        <w:t xml:space="preserve">test-time compute</w:t>
      </w:r>
      <w:r>
        <w:t xml:space="preserve"> </w:t>
      </w:r>
      <w:r>
        <w:rPr>
          <w:rStyle w:val="FootnoteReference"/>
        </w:rPr>
        <w:footnoteReference w:id="66"/>
      </w:r>
      <w:r>
        <w:t xml:space="preserve">.</w:t>
      </w:r>
    </w:p>
    <w:p>
      <w:pPr>
        <w:numPr>
          <w:ilvl w:val="1"/>
          <w:numId w:val="1014"/>
        </w:numPr>
        <w:pStyle w:val="Compact"/>
      </w:pPr>
      <w:r>
        <w:t xml:space="preserve">Their</w:t>
      </w:r>
      <w:r>
        <w:t xml:space="preserve"> </w:t>
      </w:r>
      <w:r>
        <w:rPr>
          <w:bCs/>
          <w:b/>
        </w:rPr>
        <w:t xml:space="preserve">Agent Teams</w:t>
      </w:r>
      <w:r>
        <w:t xml:space="preserve"> </w:t>
      </w:r>
      <w:r>
        <w:t xml:space="preserve">release is opt-in / research preview because it uses</w:t>
      </w:r>
      <w:r>
        <w:t xml:space="preserve"> </w:t>
      </w:r>
      <w:r>
        <w:t xml:space="preserve">“</w:t>
      </w:r>
      <w:r>
        <w:t xml:space="preserve">a ton of tokens,</w:t>
      </w:r>
      <w:r>
        <w:t xml:space="preserve">”</w:t>
      </w:r>
      <w:r>
        <w:t xml:space="preserve"> </w:t>
      </w:r>
      <w:r>
        <w:t xml:space="preserve">and is intended for</w:t>
      </w:r>
      <w:r>
        <w:t xml:space="preserve"> </w:t>
      </w:r>
      <w:r>
        <w:rPr>
          <w:bCs/>
          <w:b/>
        </w:rPr>
        <w:t xml:space="preserve">complex tasks</w:t>
      </w:r>
      <w:r>
        <w:t xml:space="preserve"> </w:t>
      </w:r>
      <w:r>
        <w:rPr>
          <w:rStyle w:val="FootnoteReference"/>
        </w:rPr>
        <w:footnoteReference w:id="67"/>
      </w:r>
      <w:r>
        <w:t xml:space="preserve">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Skills as procedural memory: keep the base prompt smaller, load expertise only when needed</w:t>
      </w:r>
    </w:p>
    <w:p>
      <w:pPr>
        <w:numPr>
          <w:ilvl w:val="1"/>
          <w:numId w:val="1015"/>
        </w:numPr>
        <w:pStyle w:val="Compact"/>
      </w:pPr>
      <w:r>
        <w:t xml:space="preserve">LangChain frames skills as curated instructions/scripts/resources that are</w:t>
      </w:r>
      <w:r>
        <w:t xml:space="preserve"> </w:t>
      </w:r>
      <w:r>
        <w:rPr>
          <w:bCs/>
          <w:b/>
        </w:rPr>
        <w:t xml:space="preserve">dynamically loaded through progressive disclosure</w:t>
      </w:r>
      <w:r>
        <w:t xml:space="preserve"> </w:t>
      </w:r>
      <w:r>
        <w:t xml:space="preserve">(retrieve only when relevant)</w:t>
      </w:r>
      <w:r>
        <w:t xml:space="preserve"> </w:t>
      </w:r>
      <w:r>
        <w:rPr>
          <w:rStyle w:val="FootnoteReference"/>
        </w:rPr>
        <w:footnoteReference w:id="68"/>
      </w:r>
      <w:r>
        <w:rPr>
          <w:rStyle w:val="FootnoteReference"/>
        </w:rPr>
        <w:footnoteReference w:id="69"/>
      </w:r>
      <w:r>
        <w:t xml:space="preserve">.</w:t>
      </w:r>
    </w:p>
    <w:p>
      <w:pPr>
        <w:numPr>
          <w:ilvl w:val="1"/>
          <w:numId w:val="1015"/>
        </w:numPr>
        <w:pStyle w:val="Compact"/>
      </w:pPr>
      <w:r>
        <w:t xml:space="preserve">Their LangSmith</w:t>
      </w:r>
      <w:r>
        <w:t xml:space="preserve"> </w:t>
      </w:r>
      <w:r>
        <w:t xml:space="preserve">“</w:t>
      </w:r>
      <w:r>
        <w:t xml:space="preserve">virtuous loop</w:t>
      </w:r>
      <w:r>
        <w:t xml:space="preserve">”</w:t>
      </w:r>
      <w:r>
        <w:t xml:space="preserve"> </w:t>
      </w:r>
      <w:r>
        <w:t xml:space="preserve">is explicitly: add tracing → generate traces → build datasets → run evaluators → iterate based on evals + human feedback</w:t>
      </w:r>
      <w:r>
        <w:t xml:space="preserve"> </w:t>
      </w:r>
      <w:r>
        <w:rPr>
          <w:rStyle w:val="FootnoteReference"/>
        </w:rPr>
        <w:footnoteReference w:id="70"/>
      </w:r>
      <w:r>
        <w:t xml:space="preserve">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Prompting pattern: force the model to surface missing assumptions</w:t>
      </w:r>
    </w:p>
    <w:p>
      <w:pPr>
        <w:numPr>
          <w:ilvl w:val="1"/>
          <w:numId w:val="1016"/>
        </w:numPr>
        <w:pStyle w:val="Compact"/>
      </w:pPr>
      <w:r>
        <w:t xml:space="preserve">Peter Steinberger treats agent use as a conversation and repeatedly asks: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Do you have any questions?</w:t>
      </w:r>
      <w:r>
        <w:rPr>
          <w:bCs/>
          <w:b/>
        </w:rPr>
        <w:t xml:space="preserve">”</w:t>
      </w:r>
      <w:r>
        <w:t xml:space="preserve"> </w:t>
      </w:r>
      <w:r>
        <w:t xml:space="preserve">to avoid the model charging ahead with default assumptions</w:t>
      </w:r>
      <w:r>
        <w:t xml:space="preserve"> </w:t>
      </w:r>
      <w:r>
        <w:rPr>
          <w:rStyle w:val="FootnoteReference"/>
        </w:rPr>
        <w:footnoteReference w:id="71"/>
      </w:r>
      <w:r>
        <w:t xml:space="preserve">.</w:t>
      </w:r>
    </w:p>
    <w:p>
      <w:pPr>
        <w:numPr>
          <w:ilvl w:val="1"/>
          <w:numId w:val="1016"/>
        </w:numPr>
        <w:pStyle w:val="Compact"/>
      </w:pPr>
      <w:r>
        <w:t xml:space="preserve">His warning: the</w:t>
      </w:r>
      <w:r>
        <w:t xml:space="preserve"> </w:t>
      </w:r>
      <w:r>
        <w:t xml:space="preserve">“</w:t>
      </w:r>
      <w:r>
        <w:rPr>
          <w:bCs/>
          <w:b/>
        </w:rPr>
        <w:t xml:space="preserve">agentic trap</w:t>
      </w:r>
      <w:r>
        <w:t xml:space="preserve">”</w:t>
      </w:r>
      <w:r>
        <w:t xml:space="preserve"> </w:t>
      </w:r>
      <w:r>
        <w:t xml:space="preserve">is spending time over-optimizing your setup—it can feel productive without improving output</w:t>
      </w:r>
      <w:r>
        <w:t xml:space="preserve"> </w:t>
      </w:r>
      <w:r>
        <w:rPr>
          <w:rStyle w:val="FootnoteReference"/>
        </w:rPr>
        <w:footnoteReference w:id="73"/>
      </w:r>
      <w:r>
        <w:t xml:space="preserve">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 hygiene: don’t dump unreviewed agent code on teammates</w:t>
      </w:r>
    </w:p>
    <w:p>
      <w:pPr>
        <w:numPr>
          <w:ilvl w:val="1"/>
          <w:numId w:val="1017"/>
        </w:numPr>
        <w:pStyle w:val="Compact"/>
      </w:pPr>
      <w:r>
        <w:t xml:space="preserve">Simon Willison’s anti-pattern: opening PRs with hundreds/thousands of agent-generated lines you haven’t reviewed is delegating the real work to reviewers</w:t>
      </w:r>
      <w:r>
        <w:t xml:space="preserve"> </w:t>
      </w:r>
      <w:r>
        <w:rPr>
          <w:rStyle w:val="FootnoteReference"/>
        </w:rPr>
        <w:footnoteReference w:id="74"/>
      </w:r>
      <w:r>
        <w:t xml:space="preserve">.</w:t>
      </w:r>
    </w:p>
    <w:p>
      <w:pPr>
        <w:numPr>
          <w:ilvl w:val="1"/>
          <w:numId w:val="1017"/>
        </w:numPr>
        <w:pStyle w:val="Compact"/>
      </w:pPr>
      <w:r>
        <w:t xml:space="preserve">What</w:t>
      </w:r>
      <w:r>
        <w:t xml:space="preserve"> </w:t>
      </w:r>
      <w:r>
        <w:t xml:space="preserve">“</w:t>
      </w:r>
      <w:r>
        <w:t xml:space="preserve">good</w:t>
      </w:r>
      <w:r>
        <w:t xml:space="preserve">”</w:t>
      </w:r>
      <w:r>
        <w:t xml:space="preserve"> </w:t>
      </w:r>
      <w:r>
        <w:t xml:space="preserve">looks like: ensure it works (and you’re confident), keep changes reviewable (multiple small PRs), include context/links, and</w:t>
      </w:r>
      <w:r>
        <w:t xml:space="preserve"> </w:t>
      </w:r>
      <w:r>
        <w:rPr>
          <w:bCs/>
          <w:b/>
        </w:rPr>
        <w:t xml:space="preserve">review the agent-written PR description too</w:t>
      </w:r>
      <w:r>
        <w:t xml:space="preserve"> </w:t>
      </w:r>
      <w:r>
        <w:rPr>
          <w:rStyle w:val="FootnoteReference"/>
        </w:rPr>
        <w:footnoteReference w:id="76"/>
      </w:r>
      <w:r>
        <w:rPr>
          <w:rStyle w:val="FootnoteReference"/>
        </w:rPr>
        <w:footnoteReference w:id="77"/>
      </w:r>
      <w:r>
        <w:rPr>
          <w:rStyle w:val="FootnoteReference"/>
        </w:rPr>
        <w:footnoteReference w:id="78"/>
      </w:r>
      <w:r>
        <w:rPr>
          <w:rStyle w:val="FootnoteReference"/>
        </w:rPr>
        <w:footnoteReference w:id="79"/>
      </w:r>
      <w:r>
        <w:t xml:space="preserve">.</w:t>
      </w:r>
    </w:p>
    <w:p>
      <w:pPr>
        <w:numPr>
          <w:ilvl w:val="1"/>
          <w:numId w:val="1017"/>
        </w:numPr>
        <w:pStyle w:val="Compact"/>
      </w:pPr>
      <w:r>
        <w:t xml:space="preserve">Add evidence you tested it (notes/screenshots/video) to avoid wasting reviewer time</w:t>
      </w:r>
      <w:r>
        <w:t xml:space="preserve"> </w:t>
      </w:r>
      <w:r>
        <w:rPr>
          <w:rStyle w:val="FootnoteReference"/>
        </w:rPr>
        <w:footnoteReference w:id="80"/>
      </w:r>
      <w:r>
        <w:t xml:space="preserve">.</w:t>
      </w:r>
    </w:p>
    <w:bookmarkEnd w:id="81"/>
    <w:bookmarkStart w:id="93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Theo (t3.gg)</w:t>
      </w:r>
      <w:r>
        <w:t xml:space="preserve"> </w:t>
      </w:r>
      <w:r>
        <w:t xml:space="preserve">— consistently strong at turning infra changes into concrete agent cost/perf implications (his WebSockets breakdown is the clearest</w:t>
      </w:r>
      <w:r>
        <w:t xml:space="preserve"> </w:t>
      </w:r>
      <w:r>
        <w:t xml:space="preserve">“</w:t>
      </w:r>
      <w:r>
        <w:t xml:space="preserve">why now</w:t>
      </w:r>
      <w:r>
        <w:t xml:space="preserve">”</w:t>
      </w:r>
      <w:r>
        <w:t xml:space="preserve"> </w:t>
      </w:r>
      <w:r>
        <w:t xml:space="preserve">explainer)</w:t>
      </w:r>
      <w:r>
        <w:t xml:space="preserve"> </w:t>
      </w:r>
      <w:r>
        <w:rPr>
          <w:rStyle w:val="FootnoteReference"/>
        </w:rPr>
        <w:footnoteReference w:id="82"/>
      </w:r>
      <w:r>
        <w:rPr>
          <w:rStyle w:val="FootnoteReference"/>
        </w:rPr>
        <w:footnoteReference w:id="83"/>
      </w:r>
      <w:r>
        <w:t xml:space="preserve">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Boris Cherny (Anthropic / Claude Code)</w:t>
      </w:r>
      <w:r>
        <w:t xml:space="preserve"> </w:t>
      </w:r>
      <w:r>
        <w:t xml:space="preserve">— high-signal production details: he claims Claude Code writes ~</w:t>
      </w:r>
      <w:r>
        <w:rPr>
          <w:bCs/>
          <w:b/>
        </w:rPr>
        <w:t xml:space="preserve">80%</w:t>
      </w:r>
      <w:r>
        <w:t xml:space="preserve"> </w:t>
      </w:r>
      <w:r>
        <w:t xml:space="preserve">of Anthropic’s code, and describes CI review + self-testing patterns that keep velocity safe</w:t>
      </w:r>
      <w:r>
        <w:t xml:space="preserve"> </w:t>
      </w:r>
      <w:r>
        <w:rPr>
          <w:rStyle w:val="FootnoteReference"/>
        </w:rPr>
        <w:footnoteReference w:id="84"/>
      </w:r>
      <w:r>
        <w:rPr>
          <w:rStyle w:val="FootnoteReference"/>
        </w:rPr>
        <w:footnoteReference w:id="85"/>
      </w:r>
      <w:r>
        <w:t xml:space="preserve">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Mitchell Hashimoto</w:t>
      </w:r>
      <w:r>
        <w:t xml:space="preserve"> </w:t>
      </w:r>
      <w:r>
        <w:t xml:space="preserve">— practical model comparison under real pressure: a 6‑month bug solved by</w:t>
      </w:r>
      <w:r>
        <w:t xml:space="preserve"> </w:t>
      </w:r>
      <w:r>
        <w:rPr>
          <w:bCs/>
          <w:b/>
        </w:rPr>
        <w:t xml:space="preserve">Codex 5.3 (xhigh)</w:t>
      </w:r>
      <w:r>
        <w:t xml:space="preserve"> </w:t>
      </w:r>
      <w:r>
        <w:t xml:space="preserve">where other settings and</w:t>
      </w:r>
      <w:r>
        <w:t xml:space="preserve"> </w:t>
      </w:r>
      <w:r>
        <w:rPr>
          <w:bCs/>
          <w:b/>
        </w:rPr>
        <w:t xml:space="preserve">Opus 4.6</w:t>
      </w:r>
      <w:r>
        <w:t xml:space="preserve"> </w:t>
      </w:r>
      <w:r>
        <w:t xml:space="preserve">failed</w:t>
      </w:r>
      <w:r>
        <w:t xml:space="preserve"> </w:t>
      </w:r>
      <w:r>
        <w:rPr>
          <w:rStyle w:val="FootnoteReference"/>
        </w:rPr>
        <w:footnoteReference w:id="86"/>
      </w:r>
      <w:r>
        <w:t xml:space="preserve">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Simon Willison</w:t>
      </w:r>
      <w:r>
        <w:t xml:space="preserve"> </w:t>
      </w:r>
      <w:r>
        <w:t xml:space="preserve">— the anti-pattern chapter is</w:t>
      </w:r>
      <w:r>
        <w:t xml:space="preserve"> </w:t>
      </w:r>
      <w:r>
        <w:t xml:space="preserve">“</w:t>
      </w:r>
      <w:r>
        <w:t xml:space="preserve">social scalability</w:t>
      </w:r>
      <w:r>
        <w:t xml:space="preserve">”</w:t>
      </w:r>
      <w:r>
        <w:t xml:space="preserve"> </w:t>
      </w:r>
      <w:r>
        <w:t xml:space="preserve">for agentic coding: ship</w:t>
      </w:r>
      <w:r>
        <w:t xml:space="preserve"> </w:t>
      </w:r>
      <w:r>
        <w:rPr>
          <w:iCs/>
          <w:i/>
        </w:rPr>
        <w:t xml:space="preserve">reviewable, evidenced</w:t>
      </w:r>
      <w:r>
        <w:t xml:space="preserve"> </w:t>
      </w:r>
      <w:r>
        <w:t xml:space="preserve">PRs, not agent slop</w:t>
      </w:r>
      <w:r>
        <w:t xml:space="preserve"> </w:t>
      </w:r>
      <w:r>
        <w:rPr>
          <w:rStyle w:val="FootnoteReference"/>
        </w:rPr>
        <w:footnoteReference w:id="87"/>
      </w:r>
      <w:r>
        <w:rPr>
          <w:rStyle w:val="FootnoteReference"/>
        </w:rPr>
        <w:footnoteReference w:id="88"/>
      </w:r>
      <w:r>
        <w:t xml:space="preserve">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Kent C. Dodds</w:t>
      </w:r>
      <w:r>
        <w:t xml:space="preserve"> </w:t>
      </w:r>
      <w:r>
        <w:t xml:space="preserve">— clear framing that</w:t>
      </w:r>
      <w:r>
        <w:t xml:space="preserve"> </w:t>
      </w:r>
      <w:r>
        <w:t xml:space="preserve">“</w:t>
      </w:r>
      <w:r>
        <w:t xml:space="preserve">pit of success</w:t>
      </w:r>
      <w:r>
        <w:t xml:space="preserve">”</w:t>
      </w:r>
      <w:r>
        <w:t xml:space="preserve"> </w:t>
      </w:r>
      <w:r>
        <w:t xml:space="preserve">needs to be adapted for agents; he claims agents have</w:t>
      </w:r>
      <w:r>
        <w:t xml:space="preserve"> </w:t>
      </w:r>
      <w:r>
        <w:t xml:space="preserve">“</w:t>
      </w:r>
      <w:r>
        <w:t xml:space="preserve">inhuman abilities</w:t>
      </w:r>
      <w:r>
        <w:t xml:space="preserve">”</w:t>
      </w:r>
      <w:r>
        <w:t xml:space="preserve"> </w:t>
      </w:r>
      <w:r>
        <w:t xml:space="preserve">to understand code</w:t>
      </w:r>
      <w:r>
        <w:t xml:space="preserve"> </w:t>
      </w:r>
      <w:r>
        <w:rPr>
          <w:rStyle w:val="FootnoteReference"/>
        </w:rPr>
        <w:footnoteReference w:id="89"/>
      </w:r>
      <w:r>
        <w:rPr>
          <w:rStyle w:val="FootnoteReference"/>
        </w:rPr>
        <w:footnoteReference w:id="91"/>
      </w:r>
      <w:r>
        <w:t xml:space="preserve">.</w:t>
      </w:r>
    </w:p>
    <w:bookmarkEnd w:id="93"/>
    <w:bookmarkStart w:id="106" w:name="watch-listen"/>
    <w:p>
      <w:pPr>
        <w:pStyle w:val="Heading2"/>
      </w:pPr>
      <w:r>
        <w:t xml:space="preserve">🎬 WATCH &amp; LISTEN</w:t>
      </w:r>
    </w:p>
    <w:bookmarkStart w:id="99" w:name="X8719e421534faec99485186d5f5478a21b074af"/>
    <w:p>
      <w:pPr>
        <w:pStyle w:val="Heading3"/>
      </w:pPr>
      <w:r>
        <w:t xml:space="preserve">1) WebSockets: why stateless tool loops spam full-context payloads (Theo, ~04:33–08:29)</w:t>
      </w:r>
    </w:p>
    <w:p>
      <w:pPr>
        <w:pStyle w:val="FirstParagraph"/>
      </w:pPr>
      <w:r>
        <w:t xml:space="preserve">Hook: a crisp mental model for why</w:t>
      </w:r>
      <w:r>
        <w:t xml:space="preserve"> </w:t>
      </w:r>
      <w:r>
        <w:rPr>
          <w:iCs/>
          <w:i/>
        </w:rPr>
        <w:t xml:space="preserve">every tool call</w:t>
      </w:r>
      <w:r>
        <w:t xml:space="preserve"> </w:t>
      </w:r>
      <w:r>
        <w:t xml:space="preserve">resends the entire history—and why caching doesn’t fix bandwidth.</w:t>
      </w:r>
      <w:r>
        <w:t xml:space="preserve"> </w:t>
      </w:r>
      <w:r>
        <w:rPr>
          <w:rStyle w:val="FootnoteReference"/>
        </w:rPr>
        <w:footnoteReference w:id="94"/>
      </w:r>
    </w:p>
    <w:p>
      <w:pPr>
        <w:pStyle w:val="BodyText"/>
      </w:pPr>
      <w:hyperlink r:id="rId98">
        <w:r>
          <w:drawing>
            <wp:inline>
              <wp:extent cx="5334000" cy="4000500"/>
              <wp:effectExtent b="0" l="0" r="0" t="0"/>
              <wp:docPr descr="I can’t believe nobody’s done this before…" title="" id="96" name="Picture"/>
              <a:graphic>
                <a:graphicData uri="http://schemas.openxmlformats.org/drawingml/2006/picture">
                  <pic:pic>
                    <pic:nvPicPr>
                      <pic:cNvPr descr="https://img.youtube.com/vi/sFEDAkJy9Dc/hqdefault.jpg" id="9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9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I can’t believe nobody’s done this before… (4:32)</w:t>
      </w:r>
    </w:p>
    <w:bookmarkEnd w:id="99"/>
    <w:bookmarkStart w:id="105" w:name="X7bb9f7355630be29921a10d3f745c368667e54e"/>
    <w:p>
      <w:pPr>
        <w:pStyle w:val="Heading3"/>
      </w:pPr>
      <w:r>
        <w:t xml:space="preserve">2) Agent Teams +</w:t>
      </w:r>
      <w:r>
        <w:t xml:space="preserve"> </w:t>
      </w:r>
      <w:r>
        <w:t xml:space="preserve">“</w:t>
      </w:r>
      <w:r>
        <w:t xml:space="preserve">uncorrelated context windows</w:t>
      </w:r>
      <w:r>
        <w:t xml:space="preserve">”</w:t>
      </w:r>
      <w:r>
        <w:t xml:space="preserve"> </w:t>
      </w:r>
      <w:r>
        <w:t xml:space="preserve">as test-time compute (Boris Cherny, ~1:15:31–1:18:00)</w:t>
      </w:r>
    </w:p>
    <w:p>
      <w:pPr>
        <w:pStyle w:val="FirstParagraph"/>
      </w:pPr>
      <w:r>
        <w:t xml:space="preserve">Hook: a practical explanation of why multiple fresh context windows + subagents can outperform</w:t>
      </w:r>
      <w:r>
        <w:t xml:space="preserve"> </w:t>
      </w:r>
      <w:r>
        <w:t xml:space="preserve">“</w:t>
      </w:r>
      <w:r>
        <w:t xml:space="preserve">more tokens in one window,</w:t>
      </w:r>
      <w:r>
        <w:t xml:space="preserve">”</w:t>
      </w:r>
      <w:r>
        <w:t xml:space="preserve"> </w:t>
      </w:r>
      <w:r>
        <w:t xml:space="preserve">and why Teams is opt-in (token cost).</w:t>
      </w:r>
      <w:r>
        <w:t xml:space="preserve"> </w:t>
      </w:r>
      <w:r>
        <w:rPr>
          <w:rStyle w:val="FootnoteReference"/>
        </w:rPr>
        <w:footnoteReference w:id="100"/>
      </w:r>
    </w:p>
    <w:p>
      <w:pPr>
        <w:pStyle w:val="BodyText"/>
      </w:pPr>
      <w:hyperlink r:id="rId104">
        <w:r>
          <w:drawing>
            <wp:inline>
              <wp:extent cx="5334000" cy="4000500"/>
              <wp:effectExtent b="0" l="0" r="0" t="0"/>
              <wp:docPr descr="Building Claude Code with Boris Cherny" title="" id="102" name="Picture"/>
              <a:graphic>
                <a:graphicData uri="http://schemas.openxmlformats.org/drawingml/2006/picture">
                  <pic:pic>
                    <pic:nvPicPr>
                      <pic:cNvPr descr="https://img.youtube.com/vi/julbw1JuAz0/hqdefault.jpg" id="10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10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Building Claude Code with Boris Cherny (75:31)</w:t>
      </w:r>
    </w:p>
    <w:bookmarkEnd w:id="105"/>
    <w:bookmarkEnd w:id="106"/>
    <w:bookmarkStart w:id="125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openai/symphony</w:t>
      </w:r>
      <w:r>
        <w:t xml:space="preserve"> </w:t>
      </w:r>
      <w:r>
        <w:t xml:space="preserve">— orchestration layer that polls project boards for changes and spawns agents per ticket lifecycle stage (board-state-driven agent work)</w:t>
      </w:r>
      <w:r>
        <w:t xml:space="preserve"> </w:t>
      </w:r>
      <w:r>
        <w:rPr>
          <w:rStyle w:val="FootnoteReference"/>
        </w:rPr>
        <w:footnoteReference w:id="107"/>
      </w:r>
      <w:r>
        <w:rPr>
          <w:rStyle w:val="FootnoteReference"/>
        </w:rPr>
        <w:footnoteReference w:id="109"/>
      </w:r>
      <w:r>
        <w:t xml:space="preserve">. Repo: https://github.com/openai/symphony</w:t>
      </w:r>
      <w:r>
        <w:t xml:space="preserve"> </w:t>
      </w:r>
      <w:r>
        <w:rPr>
          <w:rStyle w:val="FootnoteReference"/>
        </w:rPr>
        <w:footnoteReference w:id="110"/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langchain-ai/langchain-skills</w:t>
      </w:r>
      <w:r>
        <w:t xml:space="preserve"> </w:t>
      </w:r>
      <w:r>
        <w:t xml:space="preserve">— 11 progressively-disclosed skills for LangChain/LangGraph/Deep Agents tasks</w:t>
      </w:r>
      <w:r>
        <w:t xml:space="preserve"> </w:t>
      </w:r>
      <w:r>
        <w:rPr>
          <w:rStyle w:val="FootnoteReference"/>
        </w:rPr>
        <w:footnoteReference w:id="111"/>
      </w:r>
      <w:r>
        <w:rPr>
          <w:rStyle w:val="FootnoteReference"/>
        </w:rPr>
        <w:footnoteReference w:id="112"/>
      </w:r>
      <w:r>
        <w:t xml:space="preserve">. Repo: https://github.com/langchain-ai/langchain-skills</w:t>
      </w:r>
      <w:r>
        <w:t xml:space="preserve"> </w:t>
      </w:r>
      <w:r>
        <w:rPr>
          <w:rStyle w:val="FootnoteReference"/>
        </w:rPr>
        <w:footnoteReference w:id="113"/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langchain-ai/langsmith-cli + langchain-ai/langsmith-skills</w:t>
      </w:r>
      <w:r>
        <w:t xml:space="preserve"> </w:t>
      </w:r>
      <w:r>
        <w:t xml:space="preserve">— terminal-first tooling + skills for traces/datasets/evals</w:t>
      </w:r>
      <w:r>
        <w:t xml:space="preserve"> </w:t>
      </w:r>
      <w:r>
        <w:rPr>
          <w:rStyle w:val="FootnoteReference"/>
        </w:rPr>
        <w:footnoteReference w:id="114"/>
      </w:r>
      <w:r>
        <w:rPr>
          <w:rStyle w:val="FootnoteReference"/>
        </w:rPr>
        <w:footnoteReference w:id="115"/>
      </w:r>
      <w:r>
        <w:t xml:space="preserve">.</w:t>
      </w:r>
    </w:p>
    <w:p>
      <w:pPr>
        <w:numPr>
          <w:ilvl w:val="1"/>
          <w:numId w:val="1020"/>
        </w:numPr>
        <w:pStyle w:val="Compact"/>
      </w:pPr>
      <w:r>
        <w:t xml:space="preserve">CLI: https://github.com/langchain-ai/langsmith-cli</w:t>
      </w:r>
      <w:r>
        <w:t xml:space="preserve"> </w:t>
      </w:r>
      <w:r>
        <w:rPr>
          <w:rStyle w:val="FootnoteReference"/>
        </w:rPr>
        <w:footnoteReference w:id="116"/>
      </w:r>
    </w:p>
    <w:p>
      <w:pPr>
        <w:numPr>
          <w:ilvl w:val="1"/>
          <w:numId w:val="1020"/>
        </w:numPr>
        <w:pStyle w:val="Compact"/>
      </w:pPr>
      <w:r>
        <w:t xml:space="preserve">Skills: https://github.com/langchain-ai/langsmith-skills</w:t>
      </w:r>
      <w:r>
        <w:t xml:space="preserve"> </w:t>
      </w:r>
      <w:r>
        <w:rPr>
          <w:rStyle w:val="FootnoteReference"/>
        </w:rPr>
        <w:footnoteReference w:id="117"/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Wasteland (Steve Yegge)</w:t>
      </w:r>
      <w:r>
        <w:t xml:space="preserve"> </w:t>
      </w:r>
      <w:r>
        <w:t xml:space="preserve">— federated</w:t>
      </w:r>
      <w:r>
        <w:t xml:space="preserve"> </w:t>
      </w:r>
      <w:r>
        <w:t xml:space="preserve">“</w:t>
      </w:r>
      <w:r>
        <w:t xml:space="preserve">wanted board</w:t>
      </w:r>
      <w:r>
        <w:t xml:space="preserve">”</w:t>
      </w:r>
      <w:r>
        <w:t xml:space="preserve"> </w:t>
      </w:r>
      <w:r>
        <w:t xml:space="preserve">+ PR-based workflow with portable reputation stamps; reported</w:t>
      </w:r>
      <w:r>
        <w:t xml:space="preserve"> </w:t>
      </w:r>
      <w:r>
        <w:rPr>
          <w:bCs/>
          <w:b/>
        </w:rPr>
        <w:t xml:space="preserve">2400 submitted PRs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1500 merged</w:t>
      </w:r>
      <w:r>
        <w:t xml:space="preserve"> </w:t>
      </w:r>
      <w:r>
        <w:t xml:space="preserve">from</w:t>
      </w:r>
      <w:r>
        <w:t xml:space="preserve"> </w:t>
      </w:r>
      <w:r>
        <w:rPr>
          <w:bCs/>
          <w:b/>
        </w:rPr>
        <w:t xml:space="preserve">450+ contributors</w:t>
      </w:r>
      <w:r>
        <w:t xml:space="preserve"> </w:t>
      </w:r>
      <w:r>
        <w:rPr>
          <w:rStyle w:val="FootnoteReference"/>
        </w:rPr>
        <w:footnoteReference w:id="118"/>
      </w:r>
      <w:r>
        <w:rPr>
          <w:rStyle w:val="FootnoteReference"/>
        </w:rPr>
        <w:footnoteReference w:id="120"/>
      </w:r>
      <w:r>
        <w:t xml:space="preserve">.</w:t>
      </w:r>
    </w:p>
    <w:p>
      <w:pPr>
        <w:numPr>
          <w:ilvl w:val="1"/>
          <w:numId w:val="1021"/>
        </w:numPr>
        <w:pStyle w:val="Compact"/>
      </w:pPr>
      <w:r>
        <w:t xml:space="preserve">Demo Claude skill: https://wasteland.gastownhall.ai/skill</w:t>
      </w:r>
      <w:r>
        <w:t xml:space="preserve"> </w:t>
      </w:r>
      <w:r>
        <w:rPr>
          <w:rStyle w:val="FootnoteReference"/>
        </w:rPr>
        <w:footnoteReference w:id="121"/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AmpCode trace for the Codex 5.3 fix</w:t>
      </w:r>
      <w:r>
        <w:t xml:space="preserve"> </w:t>
      </w:r>
      <w:r>
        <w:t xml:space="preserve">(full run + original issue context)</w:t>
      </w:r>
      <w:r>
        <w:t xml:space="preserve"> </w:t>
      </w:r>
      <w:r>
        <w:rPr>
          <w:rStyle w:val="FootnoteReference"/>
        </w:rPr>
        <w:footnoteReference w:id="122"/>
      </w:r>
      <w:r>
        <w:t xml:space="preserve">: https://ampcode.com/threads/T-019cbadf-cb5a-742e-b0e3-2d7164de743f</w:t>
      </w:r>
      <w:r>
        <w:t xml:space="preserve"> </w:t>
      </w:r>
      <w:r>
        <w:rPr>
          <w:rStyle w:val="FootnoteReference"/>
        </w:rPr>
        <w:footnoteReference w:id="123"/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Editorial take:</w:t>
      </w:r>
      <w:r>
        <w:t xml:space="preserve"> </w:t>
      </w:r>
      <w:r>
        <w:t xml:space="preserve">Today’s theme is</w:t>
      </w:r>
      <w:r>
        <w:t xml:space="preserve"> </w:t>
      </w:r>
      <w:r>
        <w:rPr>
          <w:bCs/>
          <w:b/>
        </w:rPr>
        <w:t xml:space="preserve">harness &gt; model</w:t>
      </w:r>
      <w:r>
        <w:t xml:space="preserve">: stateful sessions (WebSockets), skills-as-procedural-memory, and reviewable evidence are what turn</w:t>
      </w:r>
      <w:r>
        <w:t xml:space="preserve"> </w:t>
      </w:r>
      <w:r>
        <w:t xml:space="preserve">“</w:t>
      </w:r>
      <w:r>
        <w:t xml:space="preserve">agent potential</w:t>
      </w:r>
      <w:r>
        <w:t xml:space="preserve">”</w:t>
      </w:r>
      <w:r>
        <w:t xml:space="preserve"> </w:t>
      </w:r>
      <w:r>
        <w:t xml:space="preserve">into repeatable throughput.</w:t>
      </w:r>
    </w:p>
    <w:p>
      <w:r>
        <w:pict>
          <v:rect style="width:0;height:1.5pt" o:hralign="center" o:hrstd="t" o:hr="t"/>
        </w:pict>
      </w:r>
    </w:p>
    <w:bookmarkStart w:id="12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22"/>
        </w:numPr>
        <w:pStyle w:val="Compact"/>
      </w:pPr>
      <w:hyperlink r:id="rId21">
        <w:r>
          <w:rPr>
            <w:rStyle w:val="Hyperlink"/>
          </w:rPr>
          <w:t xml:space="preserve">I can’t believe nobody’s done this before…</w:t>
        </w:r>
      </w:hyperlink>
    </w:p>
    <w:p>
      <w:pPr>
        <w:numPr>
          <w:ilvl w:val="0"/>
          <w:numId w:val="1022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22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@ajambrosino</w:t>
        </w:r>
      </w:hyperlink>
    </w:p>
    <w:p>
      <w:pPr>
        <w:numPr>
          <w:ilvl w:val="0"/>
          <w:numId w:val="1022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22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22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22"/>
        </w:numPr>
        <w:pStyle w:val="Compact"/>
      </w:pPr>
      <w:hyperlink r:id="rId43">
        <w:r>
          <w:rPr>
            <w:rStyle w:val="Hyperlink"/>
          </w:rPr>
          <w:t xml:space="preserve">LangChain Skills</w:t>
        </w:r>
      </w:hyperlink>
    </w:p>
    <w:p>
      <w:pPr>
        <w:numPr>
          <w:ilvl w:val="0"/>
          <w:numId w:val="1022"/>
        </w:numPr>
        <w:pStyle w:val="Compact"/>
      </w:pPr>
      <w:hyperlink r:id="rId49">
        <w:r>
          <w:rPr>
            <w:rStyle w:val="Hyperlink"/>
          </w:rPr>
          <w:t xml:space="preserve">LangSmith CLI &amp; Skills</w:t>
        </w:r>
      </w:hyperlink>
    </w:p>
    <w:p>
      <w:pPr>
        <w:numPr>
          <w:ilvl w:val="0"/>
          <w:numId w:val="1022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@mitchellh</w:t>
        </w:r>
      </w:hyperlink>
    </w:p>
    <w:p>
      <w:pPr>
        <w:numPr>
          <w:ilvl w:val="0"/>
          <w:numId w:val="1022"/>
        </w:numPr>
        <w:pStyle w:val="Compact"/>
      </w:pPr>
      <w:hyperlink r:id="rId57">
        <w:r>
          <w:rPr>
            <w:rStyle w:val="Hyperlink"/>
          </w:rPr>
          <w:t xml:space="preserve">Something is afoot in the land of Qwen</w:t>
        </w:r>
      </w:hyperlink>
    </w:p>
    <w:p>
      <w:pPr>
        <w:numPr>
          <w:ilvl w:val="0"/>
          <w:numId w:val="1022"/>
        </w:numPr>
        <w:pStyle w:val="Compact"/>
      </w:pPr>
      <w:hyperlink r:id="rId61">
        <w:r>
          <w:rPr>
            <w:rStyle w:val="Hyperlink"/>
          </w:rPr>
          <w:t xml:space="preserve">Building Claude Code with Boris Cherny</w:t>
        </w:r>
      </w:hyperlink>
    </w:p>
    <w:p>
      <w:pPr>
        <w:numPr>
          <w:ilvl w:val="0"/>
          <w:numId w:val="1022"/>
        </w:numPr>
        <w:pStyle w:val="Compact"/>
      </w:pPr>
      <w:hyperlink r:id="rId72">
        <w:r>
          <w:rPr>
            <w:rStyle w:val="Hyperlink"/>
          </w:rPr>
          <w:t xml:space="preserve">OpenClaw 爆紅背後：Peter Steinberger 如何打造代理式工程工作流</w:t>
        </w:r>
      </w:hyperlink>
    </w:p>
    <w:p>
      <w:pPr>
        <w:numPr>
          <w:ilvl w:val="0"/>
          <w:numId w:val="1022"/>
        </w:numPr>
        <w:pStyle w:val="Compact"/>
      </w:pPr>
      <w:hyperlink r:id="rId75">
        <w:r>
          <w:rPr>
            <w:rStyle w:val="Hyperlink"/>
          </w:rPr>
          <w:t xml:space="preserve">Anti-patterns: things to avoid</w:t>
        </w:r>
      </w:hyperlink>
    </w:p>
    <w:p>
      <w:pPr>
        <w:numPr>
          <w:ilvl w:val="0"/>
          <w:numId w:val="1022"/>
        </w:numPr>
        <w:pStyle w:val="Compact"/>
      </w:pP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22"/>
        </w:numPr>
        <w:pStyle w:val="Compact"/>
      </w:pP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22"/>
        </w:numPr>
        <w:pStyle w:val="Compact"/>
      </w:pPr>
      <w:hyperlink r:id="rId1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22"/>
        </w:numPr>
        <w:pStyle w:val="Compact"/>
      </w:pPr>
      <w:hyperlink r:id="rId119">
        <w:r>
          <w:rPr>
            <w:rStyle w:val="Hyperlink"/>
          </w:rPr>
          <w:t xml:space="preserve">Welcome to the Wasteland: A Thousand Gas Towns</w:t>
        </w:r>
      </w:hyperlink>
    </w:p>
    <w:bookmarkEnd w:id="124"/>
    <w:bookmarkEnd w:id="125"/>
    <w:bookmarkEnd w:id="1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I can’t believe nobody’s done this before…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I can’t believe nobody’s done this before…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I can’t believe nobody’s done this before…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I can’t believe nobody’s done this before…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I can’t believe nobody’s done this before…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I can’t believe nobody’s done this before…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I can’t believe nobody’s done this before…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@ajambrosino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@ajambrosino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@ajambrosino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LangChain Skills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LangChain Skills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LangChain Skills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LangChain Skills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LangChain Skills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LangSmith CLI &amp; Skills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LangSmith CLI &amp; Skills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LangSmith CLI &amp; Skills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LangSmith CLI &amp; Skills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@mitchellh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@mitchellh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Something is afoot in the land of Qwen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Something is afoot in the land of Qwen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Building Claude Code with Boris Cherny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Building Claude Code with Boris Cherny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Building Claude Code with Boris Cherny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Building Claude Code with Boris Cherny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Building Claude Code with Boris Cherny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Building Claude Code with Boris Cherny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Building Claude Code with Boris Cherny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LangChain Skills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LangChain Skills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LangSmith CLI &amp; Skills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OpenClaw 爆紅背後：Peter Steinberger 如何打造代理式工程工作流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OpenClaw 爆紅背後：Peter Steinberger 如何打造代理式工程工作流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Anti-patterns: things to avoid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Anti-patterns: things to avoid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Anti-patterns: things to avoid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Anti-patterns: things to avoid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Anti-patterns: things to avoid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Anti-patterns: things to avoid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I can’t believe nobody’s done this before…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I can’t believe nobody’s done this before…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Building Claude Code with Boris Cherny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Building Claude Code with Boris Cherny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@mitchellh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Anti-patterns: things to avoid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Anti-patterns: things to avoid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I can’t believe nobody’s done this before…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Building Claude Code with Boris Cherny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LangChain Skills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LangChain Skills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LangChain Skills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LangSmith CLI &amp; Skills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LangSmith CLI &amp; Skills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LangSmith CLI &amp; Skills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9">
        <w:r>
          <w:rPr>
            <w:rStyle w:val="Hyperlink"/>
          </w:rPr>
          <w:t xml:space="preserve">LangSmith CLI &amp; Skills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9">
        <w:r>
          <w:rPr>
            <w:rStyle w:val="Hyperlink"/>
          </w:rPr>
          <w:t xml:space="preserve">Welcome to the Wasteland: A Thousand Gas Towns</w:t>
        </w:r>
      </w:hyperlink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9">
        <w:r>
          <w:rPr>
            <w:rStyle w:val="Hyperlink"/>
          </w:rPr>
          <w:t xml:space="preserve">Welcome to the Wasteland: A Thousand Gas Towns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9">
        <w:r>
          <w:rPr>
            <w:rStyle w:val="Hyperlink"/>
          </w:rPr>
          <w:t xml:space="preserve">Welcome to the Wasteland: A Thousand Gas Towns</w:t>
        </w:r>
      </w:hyperlink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@mitchellh</w:t>
        </w:r>
      </w:hyperlink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@mitchellh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101" Target="media/rId101.jpg" /><Relationship Type="http://schemas.openxmlformats.org/officeDocument/2006/relationships/image" Id="rId95" Target="media/rId95.jpg" /><Relationship Type="http://schemas.openxmlformats.org/officeDocument/2006/relationships/hyperlink" Id="rId43" Target="https://blog.langchain.com/langchain-skills" TargetMode="External" /><Relationship Type="http://schemas.openxmlformats.org/officeDocument/2006/relationships/hyperlink" Id="rId49" Target="https://blog.langchain.com/langsmith-cli-skills" TargetMode="External" /><Relationship Type="http://schemas.openxmlformats.org/officeDocument/2006/relationships/hyperlink" Id="rId57" Target="https://simonwillison.net/2026/Mar/4/qwen" TargetMode="External" /><Relationship Type="http://schemas.openxmlformats.org/officeDocument/2006/relationships/hyperlink" Id="rId75" Target="https://simonwillison.net/guides/agentic-engineering-patterns/anti-patterns" TargetMode="External" /><Relationship Type="http://schemas.openxmlformats.org/officeDocument/2006/relationships/hyperlink" Id="rId119" Target="https://steve-yegge.medium.com/welcome-to-the-wasteland-a-thousand-gas-towns-a5eb9bc8dc1f?source=rss-c1ec701babb7------2" TargetMode="External" /><Relationship Type="http://schemas.openxmlformats.org/officeDocument/2006/relationships/hyperlink" Id="rId61" Target="https://www.youtube.com/watch?v=julbw1JuAz0" TargetMode="External" /><Relationship Type="http://schemas.openxmlformats.org/officeDocument/2006/relationships/hyperlink" Id="rId72" Target="https://www.youtube.com/watch?v=lzllXUrUpew" TargetMode="External" /><Relationship Type="http://schemas.openxmlformats.org/officeDocument/2006/relationships/hyperlink" Id="rId21" Target="https://www.youtube.com/watch?v=sFEDAkJy9Dc" TargetMode="External" /><Relationship Type="http://schemas.openxmlformats.org/officeDocument/2006/relationships/hyperlink" Id="rId30" Target="https://x.com/OpenAIDevs/status/2029252453246595301" TargetMode="External" /><Relationship Type="http://schemas.openxmlformats.org/officeDocument/2006/relationships/hyperlink" Id="rId32" Target="https://x.com/ajambrosino/status/2029252598851879265" TargetMode="External" /><Relationship Type="http://schemas.openxmlformats.org/officeDocument/2006/relationships/hyperlink" Id="rId40" Target="https://x.com/cursor_ai/status/2029222015736197205" TargetMode="External" /><Relationship Type="http://schemas.openxmlformats.org/officeDocument/2006/relationships/hyperlink" Id="rId90" Target="https://x.com/kentcdodds/status/2029424484420337986" TargetMode="External" /><Relationship Type="http://schemas.openxmlformats.org/officeDocument/2006/relationships/hyperlink" Id="rId92" Target="https://x.com/kentcdodds/status/2029429178316312631" TargetMode="External" /><Relationship Type="http://schemas.openxmlformats.org/officeDocument/2006/relationships/hyperlink" Id="rId54" Target="https://x.com/mitchellh/status/2029348087538565612" TargetMode="External" /><Relationship Type="http://schemas.openxmlformats.org/officeDocument/2006/relationships/hyperlink" Id="rId108" Target="https://x.com/scaling01/status/2029261034993684952" TargetMode="External" /><Relationship Type="http://schemas.openxmlformats.org/officeDocument/2006/relationships/hyperlink" Id="rId36" Target="https://x.com/thsottiaux/status/2029259749037097085" TargetMode="External" /><Relationship Type="http://schemas.openxmlformats.org/officeDocument/2006/relationships/hyperlink" Id="rId38" Target="https://x.com/thsottiaux/status/2029308599835738218" TargetMode="External" /><Relationship Type="http://schemas.openxmlformats.org/officeDocument/2006/relationships/hyperlink" Id="rId104" Target="https://youtube.com/watch?v=julbw1JuAz0&amp;t=4531" TargetMode="External" /><Relationship Type="http://schemas.openxmlformats.org/officeDocument/2006/relationships/hyperlink" Id="rId98" Target="https://youtube.com/watch?v=sFEDAkJy9Dc&amp;t=2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3" Target="https://blog.langchain.com/langchain-skills" TargetMode="External" /><Relationship Type="http://schemas.openxmlformats.org/officeDocument/2006/relationships/hyperlink" Id="rId49" Target="https://blog.langchain.com/langsmith-cli-skills" TargetMode="External" /><Relationship Type="http://schemas.openxmlformats.org/officeDocument/2006/relationships/hyperlink" Id="rId57" Target="https://simonwillison.net/2026/Mar/4/qwen" TargetMode="External" /><Relationship Type="http://schemas.openxmlformats.org/officeDocument/2006/relationships/hyperlink" Id="rId75" Target="https://simonwillison.net/guides/agentic-engineering-patterns/anti-patterns" TargetMode="External" /><Relationship Type="http://schemas.openxmlformats.org/officeDocument/2006/relationships/hyperlink" Id="rId119" Target="https://steve-yegge.medium.com/welcome-to-the-wasteland-a-thousand-gas-towns-a5eb9bc8dc1f?source=rss-c1ec701babb7------2" TargetMode="External" /><Relationship Type="http://schemas.openxmlformats.org/officeDocument/2006/relationships/hyperlink" Id="rId61" Target="https://www.youtube.com/watch?v=julbw1JuAz0" TargetMode="External" /><Relationship Type="http://schemas.openxmlformats.org/officeDocument/2006/relationships/hyperlink" Id="rId72" Target="https://www.youtube.com/watch?v=lzllXUrUpew" TargetMode="External" /><Relationship Type="http://schemas.openxmlformats.org/officeDocument/2006/relationships/hyperlink" Id="rId21" Target="https://www.youtube.com/watch?v=sFEDAkJy9Dc" TargetMode="External" /><Relationship Type="http://schemas.openxmlformats.org/officeDocument/2006/relationships/hyperlink" Id="rId30" Target="https://x.com/OpenAIDevs/status/2029252453246595301" TargetMode="External" /><Relationship Type="http://schemas.openxmlformats.org/officeDocument/2006/relationships/hyperlink" Id="rId32" Target="https://x.com/ajambrosino/status/2029252598851879265" TargetMode="External" /><Relationship Type="http://schemas.openxmlformats.org/officeDocument/2006/relationships/hyperlink" Id="rId40" Target="https://x.com/cursor_ai/status/2029222015736197205" TargetMode="External" /><Relationship Type="http://schemas.openxmlformats.org/officeDocument/2006/relationships/hyperlink" Id="rId90" Target="https://x.com/kentcdodds/status/2029424484420337986" TargetMode="External" /><Relationship Type="http://schemas.openxmlformats.org/officeDocument/2006/relationships/hyperlink" Id="rId92" Target="https://x.com/kentcdodds/status/2029429178316312631" TargetMode="External" /><Relationship Type="http://schemas.openxmlformats.org/officeDocument/2006/relationships/hyperlink" Id="rId54" Target="https://x.com/mitchellh/status/2029348087538565612" TargetMode="External" /><Relationship Type="http://schemas.openxmlformats.org/officeDocument/2006/relationships/hyperlink" Id="rId108" Target="https://x.com/scaling01/status/2029261034993684952" TargetMode="External" /><Relationship Type="http://schemas.openxmlformats.org/officeDocument/2006/relationships/hyperlink" Id="rId36" Target="https://x.com/thsottiaux/status/2029259749037097085" TargetMode="External" /><Relationship Type="http://schemas.openxmlformats.org/officeDocument/2006/relationships/hyperlink" Id="rId38" Target="https://x.com/thsottiaux/status/2029308599835738218" TargetMode="External" /><Relationship Type="http://schemas.openxmlformats.org/officeDocument/2006/relationships/hyperlink" Id="rId104" Target="https://youtube.com/watch?v=julbw1JuAz0&amp;t=4531" TargetMode="External" /><Relationship Type="http://schemas.openxmlformats.org/officeDocument/2006/relationships/hyperlink" Id="rId98" Target="https://youtube.com/watch?v=sFEDAkJy9Dc&amp;t=2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Stateful agent runs (WebSockets), Codex on Windows, and skills-driven harnesses</dc:title>
  <dc:creator>Coding Agents Alpha Tracker</dc:creator>
  <cp:keywords/>
  <dcterms:created xsi:type="dcterms:W3CDTF">2026-03-05T10:22:40Z</dcterms:created>
  <dcterms:modified xsi:type="dcterms:W3CDTF">2026-03-05T10:22:40Z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2026-03-05</vt:lpwstr>
  </property>
</Properties>
</file>