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Stripe’s Reported $7B OpenRouter Deal Puts Model Routing at the Center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2026-08-17</w:t>
      </w:r>
    </w:p>
    <w:bookmarkStart w:id="45" w:name="X86b4612419b3d3a924cb1af8aabf157da278238"/>
    <w:p>
      <w:pPr>
        <w:pStyle w:val="Heading1"/>
      </w:pPr>
      <w:r>
        <w:t xml:space="preserve">Stripe’s Reported $7B OpenRouter Deal Puts Model Routing at the Center</w:t>
      </w:r>
    </w:p>
    <w:p>
      <w:pPr>
        <w:pStyle w:val="FirstParagraph"/>
      </w:pPr>
      <w:r>
        <w:rPr>
          <w:iCs/>
          <w:i/>
        </w:rPr>
        <w:t xml:space="preserve">By AI High Signal Digest • August 17, 2026</w:t>
      </w:r>
    </w:p>
    <w:p>
      <w:pPr>
        <w:pStyle w:val="BodyText"/>
      </w:pPr>
      <w:r>
        <w:t xml:space="preserve">The strongest strategic move is a reported Stripe–OpenRouter acquisition, alongside gated cyber capability, a more nuanced DeepSeek V4 Pro cost/performance profile, and new evidence about agent security and deployment.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AI competition is moving from standalone models toward routing platforms, gated capabilities, and cost-aware deployment.</w:t>
      </w:r>
      <w:r>
        <w:t xml:space="preserve"> </w:t>
      </w:r>
      <w:r>
        <w:t xml:space="preserve">[1, 2, 3]</w:t>
      </w:r>
    </w:p>
    <w:p>
      <w:pPr>
        <w:pStyle w:val="BodyText"/>
      </w:pPr>
      <w:r>
        <w:rPr>
          <w:bCs/>
          <w:b/>
        </w:rPr>
        <w:t xml:space="preserve">Stripe is moving into AI’s control plane.</w:t>
      </w:r>
      <w:r>
        <w:t xml:space="preserve"> </w:t>
      </w:r>
      <w:r>
        <w:t xml:space="preserve">Bloomberg-reported posts say Stripe finalized an agreement to acquire OpenRouter for more than $7 billion—over five times OpenRouter’s $1.3 billion funding-round valuation only 82 days earlier. Commentary frames the deal as Stripe adding a model-routing and platform layer, and as another large startup moving into AI infrastructure. [4, 5, 1]</w:t>
      </w:r>
    </w:p>
    <w:p>
      <w:pPr>
        <w:pStyle w:val="BodyText"/>
      </w:pPr>
      <w:r>
        <w:rPr>
          <w:bCs/>
          <w:b/>
        </w:rPr>
        <w:t xml:space="preserve">OpenAI is packaging cyber capability as controlled access.</w:t>
      </w:r>
      <w:r>
        <w:t xml:space="preserve"> </w:t>
      </w:r>
      <w:r>
        <w:t xml:space="preserve">Daybreak Blue offers frontier general-purpose models with defensive safeguards; Red offers purpose-trained models for authorized vulnerability research, with GPT-5.6-Cyber available through Red. OpenAI’s internal completion-rate test reports 95.0% for Cyber versus 1.5% for GPT-5.6 Sol and 2.0% for Sol with Blue access. Access is limited to approved users and organizations with identity checks, monitoring, restrictions, and legal attestations. [6, 2]</w:t>
      </w:r>
    </w:p>
    <w:p>
      <w:pPr>
        <w:pStyle w:val="BodyText"/>
      </w:pPr>
      <w:r>
        <w:rPr>
          <w:bCs/>
          <w:b/>
        </w:rPr>
        <w:t xml:space="preserve">DeepSeek V4 Pro’s live economics are more nuanced than its capability headline.</w:t>
      </w:r>
      <w:r>
        <w:t xml:space="preserve"> </w:t>
      </w:r>
      <w:r>
        <w:t xml:space="preserve">Peak/off-peak pricing took effect August 17, with off-peak usage at half the peak rate. A Zhihu evaluation finds Pro stronger than Preview but substantially more expensive in computation: about 20,000 extra planning tokens and 20–50% more steps than Flash on the same programming task. A</w:t>
      </w:r>
      <w:r>
        <w:t xml:space="preserve"> </w:t>
      </w:r>
      <w:r>
        <w:t xml:space="preserve">“</w:t>
      </w:r>
      <w:r>
        <w:t xml:space="preserve">maybe</w:t>
      </w:r>
      <w:r>
        <w:t xml:space="preserve">”</w:t>
      </w:r>
      <w:r>
        <w:t xml:space="preserve"> </w:t>
      </w:r>
      <w:r>
        <w:t xml:space="preserve">loop appeared in fewer than 7% of the author’s reasoning tests, so the recommendation is Flash for throughput and cost, Pro for deeper planning and verification. [3]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technical signals concern training forecasts, hidden agent state, and the model–tool interface.</w:t>
      </w:r>
      <w:r>
        <w:t xml:space="preserve"> </w:t>
      </w:r>
      <w:r>
        <w:t xml:space="preserve">[7]</w:t>
      </w:r>
    </w:p>
    <w:p>
      <w:pPr>
        <w:pStyle w:val="BodyText"/>
      </w:pPr>
      <w:r>
        <w:rPr>
          <w:bCs/>
          <w:b/>
        </w:rPr>
        <w:t xml:space="preserve">Skaling</w:t>
      </w:r>
      <w:r>
        <w:t xml:space="preserve"> </w:t>
      </w:r>
      <w:r>
        <w:t xml:space="preserve">couples model capacity and data with one interaction exponent. The reported law reduces mean absolute percentage error 1.5–3×, wins on 76% of configurations, and can profile the full grid with roughly 10× less compute. [7]</w:t>
      </w:r>
    </w:p>
    <w:p>
      <w:pPr>
        <w:pStyle w:val="BodyText"/>
      </w:pPr>
      <w:r>
        <w:rPr>
          <w:bCs/>
          <w:b/>
        </w:rPr>
        <w:t xml:space="preserve">“</w:t>
      </w:r>
      <w:r>
        <w:rPr>
          <w:bCs/>
          <w:b/>
        </w:rPr>
        <w:t xml:space="preserve">Stealing Reasoning Traces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identifies an agent-security flaw.</w:t>
      </w:r>
      <w:r>
        <w:t xml:space="preserve"> </w:t>
      </w:r>
      <w:r>
        <w:t xml:space="preserve">Encrypted reasoning blocks are compatible across sessions, users, and models within a provider; a weaker sibling can decode a stronger model’s trace verbatim. Decoding 315,320 public blocks reportedly recovered 367 PII artifacts and 182 credentials, while also enabling hidden prompt injection. [7]</w:t>
      </w:r>
    </w:p>
    <w:p>
      <w:pPr>
        <w:pStyle w:val="BodyText"/>
      </w:pPr>
      <w:r>
        <w:rPr>
          <w:bCs/>
          <w:b/>
        </w:rPr>
        <w:t xml:space="preserve">Programmatic tool calling</w:t>
      </w:r>
      <w:r>
        <w:t xml:space="preserve">—typed Python stubs executed inside the agent turn—matched or exceeded native JSON calling on 11 of 14 models; the GPT-5.6 family gained 10.6%, and it held steady under context rot while JSON degraded 2.3% on average. [7]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Practical differentiation is shifting toward specialized workflow quality and deployability on local hardware.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LlamaExtract Agentic Plus</w:t>
      </w:r>
      <w:r>
        <w:t xml:space="preserve"> </w:t>
      </w:r>
      <w:r>
        <w:t xml:space="preserve">targets 50-plus-page documents with 10,000–100,000 fields. LlamaIndex says it reaches 94%+ accuracy, returns confidence scores and source bounding boxes for every field, and beats generalized coding-agent harnesses by 10–20%. [8]</w:t>
      </w:r>
    </w:p>
    <w:p>
      <w:pPr>
        <w:pStyle w:val="BodyText"/>
      </w:pPr>
      <w:r>
        <w:rPr>
          <w:bCs/>
          <w:b/>
        </w:rPr>
        <w:t xml:space="preserve">Qwen 3.8 27B’s independent hands-on signal is strong but operationally qualified.</w:t>
      </w:r>
      <w:r>
        <w:t xml:space="preserve"> </w:t>
      </w:r>
      <w:r>
        <w:t xml:space="preserve">A 17GB quantized build wrote code, drove tools, and annotated images on high-end consumer hardware, but delivered only about 15–30 tokens per second; its dense architecture makes memory bandwidth, not capability, the main barrier to daily use. [9]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The buildout is becoming both a physical serving-capacity race and a venture category for simulated social systems.</w:t>
      </w:r>
      <w:r>
        <w:t xml:space="preserve"> </w:t>
      </w:r>
      <w:r>
        <w:t xml:space="preserve">[10, 11]</w:t>
      </w:r>
    </w:p>
    <w:p>
      <w:pPr>
        <w:pStyle w:val="BodyText"/>
      </w:pPr>
      <w:r>
        <w:rPr>
          <w:bCs/>
          <w:b/>
        </w:rPr>
        <w:t xml:space="preserve">Alibaba is scaling inference infrastructure around its own and partner models.</w:t>
      </w:r>
      <w:r>
        <w:t xml:space="preserve"> </w:t>
      </w:r>
      <w:r>
        <w:t xml:space="preserve">A report on its Ulanqab Cloud launch describes 64-card cabinets with one-hour delivery, inference support for Qwen 3.8 Max and Kimi K3, and a claimed 122,000-card cluster capacity. [10]</w:t>
      </w:r>
    </w:p>
    <w:p>
      <w:pPr>
        <w:pStyle w:val="BodyText"/>
      </w:pPr>
      <w:r>
        <w:rPr>
          <w:bCs/>
          <w:b/>
        </w:rPr>
        <w:t xml:space="preserve">Simile is putting serious capital behind population simulation.</w:t>
      </w:r>
      <w:r>
        <w:t xml:space="preserve"> </w:t>
      </w:r>
      <w:r>
        <w:t xml:space="preserve">The Turing Post reports more than $300 million raised in 2026 at a $2 billion valuation, with a long-term ambition to simulate all eight billion people. [11]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Provenance compliance is immediately being tested by user acceptance and circumvention.</w:t>
      </w:r>
      <w:r>
        <w:t xml:space="preserve"> </w:t>
      </w:r>
      <w:r>
        <w:t xml:space="preserve">[12, 13]</w:t>
      </w:r>
    </w:p>
    <w:p>
      <w:pPr>
        <w:pStyle w:val="BodyText"/>
      </w:pPr>
      <w:r>
        <w:t xml:space="preserve">Anthropic says Claude watermarking is being implemented for EU AI Act compliance without changing quality, adding tokens, or identifying a user, organization, or chat. Within days, a current-period report said a MIT-licensed remover had reached 10,000 GitHub stars and targeted Claude, SynthID-Text, OpenAI marks, and C2PA/EXIF metadata. [12, 13]</w:t>
      </w:r>
    </w:p>
    <w:bookmarkEnd w:id="24"/>
    <w:bookmarkStart w:id="44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 operational changes show where agent UX and test-time compute are heading.</w:t>
      </w:r>
      <w:r>
        <w:t xml:space="preserve"> </w:t>
      </w:r>
      <w:r>
        <w:t xml:space="preserve">[14, 15, 16]</w:t>
      </w:r>
    </w:p>
    <w:p>
      <w:pPr>
        <w:numPr>
          <w:ilvl w:val="0"/>
          <w:numId w:val="1001"/>
        </w:numPr>
        <w:pStyle w:val="Compact"/>
      </w:pPr>
      <w:r>
        <w:t xml:space="preserve">Codex’s GPT-5.6 Sol 1M mode was switched on for ChatGPT accounts; an initial report of a roughly 360K subscription cap was later retracted after access opened. [14, 17, 18]</w:t>
      </w:r>
    </w:p>
    <w:p>
      <w:pPr>
        <w:numPr>
          <w:ilvl w:val="0"/>
          <w:numId w:val="1001"/>
        </w:numPr>
        <w:pStyle w:val="Compact"/>
      </w:pPr>
      <w:r>
        <w:t xml:space="preserve">Weaviate’s medium/high/ultrahigh effort tiers lifted BRIGHT Biology nDCG@10 from 13.0 to 57.5 over hybrid search. [15]</w:t>
      </w:r>
    </w:p>
    <w:p>
      <w:pPr>
        <w:numPr>
          <w:ilvl w:val="0"/>
          <w:numId w:val="1001"/>
        </w:numPr>
        <w:pStyle w:val="Compact"/>
      </w:pPr>
      <w:r>
        <w:t xml:space="preserve">Hermes Agent Desktop now scopes skills, tools, and MCPs to individual profiles or bots and lets users install skills through its browser. [16]</w:t>
      </w:r>
    </w:p>
    <w:p>
      <w:r>
        <w:pict>
          <v:rect style="width:0;height:1.5pt" o:hralign="center" o:hrstd="t" o:hr="t"/>
        </w:pict>
      </w:r>
    </w:p>
    <w:bookmarkStart w:id="4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@andrew_n_carr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Expanding Daybreak as the Cyber Defense Window Narrows | OpenAI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@AndrewCurran_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@nmasc_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Qwen 3.8 27B is excellent, but it defaults to wildly overthinking things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@tphuang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@AiBreakfast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@dl_weekly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@Teknium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@Teknium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@Teknium</w:t>
        </w:r>
      </w:hyperlink>
    </w:p>
    <w:bookmarkEnd w:id="43"/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openai.com/index/expanding-daybreak-as-the-cyber-defense-window-narrows/" TargetMode="External" /><Relationship Type="http://schemas.openxmlformats.org/officeDocument/2006/relationships/hyperlink" Id="rId33" Target="https://simonwillison.net/2026/Aug/16/qwen-38-27b/" TargetMode="External" /><Relationship Type="http://schemas.openxmlformats.org/officeDocument/2006/relationships/hyperlink" Id="rId37" Target="https://x.com/AiBreakfast/status/2089019039427543484" TargetMode="External" /><Relationship Type="http://schemas.openxmlformats.org/officeDocument/2006/relationships/hyperlink" Id="rId28" Target="https://x.com/AndrewCurran_/status/2089088356676440483" TargetMode="External" /><Relationship Type="http://schemas.openxmlformats.org/officeDocument/2006/relationships/hyperlink" Id="rId36" Target="https://x.com/AnthropicAI/status/2088343978873966687" TargetMode="External" /><Relationship Type="http://schemas.openxmlformats.org/officeDocument/2006/relationships/hyperlink" Id="rId40" Target="https://x.com/Teknium/status/2088874095345856541" TargetMode="External" /><Relationship Type="http://schemas.openxmlformats.org/officeDocument/2006/relationships/hyperlink" Id="rId41" Target="https://x.com/Teknium/status/2089121005168189539" TargetMode="External" /><Relationship Type="http://schemas.openxmlformats.org/officeDocument/2006/relationships/hyperlink" Id="rId42" Target="https://x.com/Teknium/status/2089186428169469963" TargetMode="External" /><Relationship Type="http://schemas.openxmlformats.org/officeDocument/2006/relationships/hyperlink" Id="rId27" Target="https://x.com/ZhihuFrontier/status/2089187732102799862" TargetMode="External" /><Relationship Type="http://schemas.openxmlformats.org/officeDocument/2006/relationships/hyperlink" Id="rId25" Target="https://x.com/andrew_n_carr/status/2089091765555081596" TargetMode="External" /><Relationship Type="http://schemas.openxmlformats.org/officeDocument/2006/relationships/hyperlink" Id="rId39" Target="https://x.com/dl_weekly/status/2088989451997385205" TargetMode="External" /><Relationship Type="http://schemas.openxmlformats.org/officeDocument/2006/relationships/hyperlink" Id="rId30" Target="https://x.com/dl_weekly/status/2089079863432901068" TargetMode="External" /><Relationship Type="http://schemas.openxmlformats.org/officeDocument/2006/relationships/hyperlink" Id="rId35" Target="https://x.com/i/article/2088929363328716801" TargetMode="External" /><Relationship Type="http://schemas.openxmlformats.org/officeDocument/2006/relationships/hyperlink" Id="rId31" Target="https://x.com/i/article/2089024846684418048" TargetMode="External" /><Relationship Type="http://schemas.openxmlformats.org/officeDocument/2006/relationships/hyperlink" Id="rId32" Target="https://x.com/jerryjliu0/status/2089099864554831995" TargetMode="External" /><Relationship Type="http://schemas.openxmlformats.org/officeDocument/2006/relationships/hyperlink" Id="rId29" Target="https://x.com/nmasc_/status/2089079074358690187" TargetMode="External" /><Relationship Type="http://schemas.openxmlformats.org/officeDocument/2006/relationships/hyperlink" Id="rId38" Target="https://x.com/thsottiaux/status/2089143488696705077" TargetMode="External" /><Relationship Type="http://schemas.openxmlformats.org/officeDocument/2006/relationships/hyperlink" Id="rId34" Target="https://x.com/tphuang/status/20888445046524601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openai.com/index/expanding-daybreak-as-the-cyber-defense-window-narrows/" TargetMode="External" /><Relationship Type="http://schemas.openxmlformats.org/officeDocument/2006/relationships/hyperlink" Id="rId33" Target="https://simonwillison.net/2026/Aug/16/qwen-38-27b/" TargetMode="External" /><Relationship Type="http://schemas.openxmlformats.org/officeDocument/2006/relationships/hyperlink" Id="rId37" Target="https://x.com/AiBreakfast/status/2089019039427543484" TargetMode="External" /><Relationship Type="http://schemas.openxmlformats.org/officeDocument/2006/relationships/hyperlink" Id="rId28" Target="https://x.com/AndrewCurran_/status/2089088356676440483" TargetMode="External" /><Relationship Type="http://schemas.openxmlformats.org/officeDocument/2006/relationships/hyperlink" Id="rId36" Target="https://x.com/AnthropicAI/status/2088343978873966687" TargetMode="External" /><Relationship Type="http://schemas.openxmlformats.org/officeDocument/2006/relationships/hyperlink" Id="rId40" Target="https://x.com/Teknium/status/2088874095345856541" TargetMode="External" /><Relationship Type="http://schemas.openxmlformats.org/officeDocument/2006/relationships/hyperlink" Id="rId41" Target="https://x.com/Teknium/status/2089121005168189539" TargetMode="External" /><Relationship Type="http://schemas.openxmlformats.org/officeDocument/2006/relationships/hyperlink" Id="rId42" Target="https://x.com/Teknium/status/2089186428169469963" TargetMode="External" /><Relationship Type="http://schemas.openxmlformats.org/officeDocument/2006/relationships/hyperlink" Id="rId27" Target="https://x.com/ZhihuFrontier/status/2089187732102799862" TargetMode="External" /><Relationship Type="http://schemas.openxmlformats.org/officeDocument/2006/relationships/hyperlink" Id="rId25" Target="https://x.com/andrew_n_carr/status/2089091765555081596" TargetMode="External" /><Relationship Type="http://schemas.openxmlformats.org/officeDocument/2006/relationships/hyperlink" Id="rId39" Target="https://x.com/dl_weekly/status/2088989451997385205" TargetMode="External" /><Relationship Type="http://schemas.openxmlformats.org/officeDocument/2006/relationships/hyperlink" Id="rId30" Target="https://x.com/dl_weekly/status/2089079863432901068" TargetMode="External" /><Relationship Type="http://schemas.openxmlformats.org/officeDocument/2006/relationships/hyperlink" Id="rId35" Target="https://x.com/i/article/2088929363328716801" TargetMode="External" /><Relationship Type="http://schemas.openxmlformats.org/officeDocument/2006/relationships/hyperlink" Id="rId31" Target="https://x.com/i/article/2089024846684418048" TargetMode="External" /><Relationship Type="http://schemas.openxmlformats.org/officeDocument/2006/relationships/hyperlink" Id="rId32" Target="https://x.com/jerryjliu0/status/2089099864554831995" TargetMode="External" /><Relationship Type="http://schemas.openxmlformats.org/officeDocument/2006/relationships/hyperlink" Id="rId29" Target="https://x.com/nmasc_/status/2089079074358690187" TargetMode="External" /><Relationship Type="http://schemas.openxmlformats.org/officeDocument/2006/relationships/hyperlink" Id="rId38" Target="https://x.com/thsottiaux/status/2089143488696705077" TargetMode="External" /><Relationship Type="http://schemas.openxmlformats.org/officeDocument/2006/relationships/hyperlink" Id="rId34" Target="https://x.com/tphuang/status/20888445046524601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Stripe’s Reported $7B OpenRouter Deal Puts Model Routing at the Center</dc:title>
  <dc:creator>AI High Signal Digest</dc:creator>
  <cp:keywords/>
  <dcterms:created xsi:type="dcterms:W3CDTF">2026-08-17T13:01:19Z</dcterms:created>
  <dcterms:modified xsi:type="dcterms:W3CDTF">2026-08-17T13:01:19Z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2026-08-17</vt:lpwstr>
  </property>
</Properties>
</file>