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Structured AI Tutoring Shows Gains as Schools Build Capacity and Workflow Tools</w:t>
      </w:r>
    </w:p>
    <w:p>
      <w:pPr>
        <w:pStyle w:val="Author"/>
      </w:pPr>
      <w:r>
        <w:t xml:space="preserve">AI in EdTech Weekly</w:t>
      </w:r>
    </w:p>
    <w:p>
      <w:pPr>
        <w:pStyle w:val="Date"/>
      </w:pPr>
      <w:r>
        <w:t xml:space="preserve">2026-03-23</w:t>
      </w:r>
    </w:p>
    <w:bookmarkStart w:id="57" w:name="X52c412a5544e7d2a11811a3ae987978067cdb29"/>
    <w:p>
      <w:pPr>
        <w:pStyle w:val="Heading1"/>
      </w:pPr>
      <w:r>
        <w:t xml:space="preserve">Structured AI Tutoring Shows Gains as Schools Build Capacity and Workflow Tools</w:t>
      </w:r>
    </w:p>
    <w:p>
      <w:pPr>
        <w:pStyle w:val="FirstParagraph"/>
      </w:pPr>
      <w:r>
        <w:rPr>
          <w:iCs/>
          <w:i/>
        </w:rPr>
        <w:t xml:space="preserve">By AI in EdTech Weekly • March 23, 2026</w:t>
      </w:r>
    </w:p>
    <w:p>
      <w:pPr>
        <w:pStyle w:val="BodyText"/>
      </w:pPr>
      <w:r>
        <w:t xml:space="preserve">Structured AI tutors and coaches delivered some of the week’s strongest evidence, while districts and universities focused on teacher capacity and workflow integration rather than novelty alone. The bigger gap now is evaluation, consistent policy, and helping learners use AI without losing human judgment.</w:t>
      </w:r>
    </w:p>
    <w:bookmarkStart w:id="20" w:name="Xa0a27044ea861e1fbcc67384c02f2eea8b6a972"/>
    <w:p>
      <w:pPr>
        <w:pStyle w:val="Heading2"/>
      </w:pPr>
      <w:r>
        <w:t xml:space="preserve">Structured AI tutoring is starting to show measurable gains</w:t>
      </w:r>
    </w:p>
    <w:p>
      <w:pPr>
        <w:pStyle w:val="FirstParagraph"/>
      </w:pPr>
      <w:r>
        <w:t xml:space="preserve">The clearest learning signal this week came from structured AI support, not generic chat. A five-month randomized controlled experiment across 770 students in 10 Taipei high schools found that a GPT-4o-powered tutor that personalized problem sequencing improved final exam performance by</w:t>
      </w:r>
      <w:r>
        <w:t xml:space="preserve"> </w:t>
      </w:r>
      <w:r>
        <w:rPr>
          <w:bCs/>
          <w:b/>
        </w:rPr>
        <w:t xml:space="preserve">0.15 SD</w:t>
      </w:r>
      <w:r>
        <w:t xml:space="preserve"> </w:t>
      </w:r>
      <w:r>
        <w:t xml:space="preserve">— roughly</w:t>
      </w:r>
      <w:r>
        <w:t xml:space="preserve"> </w:t>
      </w:r>
      <w:r>
        <w:rPr>
          <w:bCs/>
          <w:b/>
        </w:rPr>
        <w:t xml:space="preserve">six to nine months of additional schooling</w:t>
      </w:r>
      <w:r>
        <w:t xml:space="preserve"> </w:t>
      </w:r>
      <w:r>
        <w:t xml:space="preserve">by some estimates. Effects were larger for beginners, the gains appeared to come from stronger engagement and more productive AI use, and the result came</w:t>
      </w:r>
      <w:r>
        <w:t xml:space="preserve"> </w:t>
      </w:r>
      <w:r>
        <w:rPr>
          <w:bCs/>
          <w:b/>
        </w:rPr>
        <w:t xml:space="preserve">without increasing instruction time or teacher workload</w:t>
      </w:r>
      <w:r>
        <w:t xml:space="preserve"> </w:t>
      </w:r>
      <w:r>
        <w:t xml:space="preserve">[1, 2, 3].</w:t>
      </w:r>
    </w:p>
    <w:p>
      <w:pPr>
        <w:pStyle w:val="BodyText"/>
      </w:pPr>
      <w:r>
        <w:t xml:space="preserve">AI support is also showing up beyond academic content. A preregistered study of</w:t>
      </w:r>
      <w:r>
        <w:t xml:space="preserve"> </w:t>
      </w:r>
      <w:r>
        <w:rPr>
          <w:bCs/>
          <w:b/>
        </w:rPr>
        <w:t xml:space="preserve">968 people</w:t>
      </w:r>
      <w:r>
        <w:t xml:space="preserve"> </w:t>
      </w:r>
      <w:r>
        <w:t xml:space="preserve">found almost no relationship between feeling empathic and communicating empathy, but a</w:t>
      </w:r>
      <w:r>
        <w:t xml:space="preserve"> </w:t>
      </w:r>
      <w:r>
        <w:rPr>
          <w:bCs/>
          <w:b/>
        </w:rPr>
        <w:t xml:space="preserve">single practice session with an AI coach</w:t>
      </w:r>
      <w:r>
        <w:t xml:space="preserve"> </w:t>
      </w:r>
      <w:r>
        <w:t xml:space="preserve">made people measurably better at expressing empathy [4].</w:t>
      </w:r>
    </w:p>
    <w:p>
      <w:pPr>
        <w:pStyle w:val="BodyText"/>
      </w:pPr>
      <w:r>
        <w:t xml:space="preserve">On the product-building side, a 17-year-old Alpha High student said he used</w:t>
      </w:r>
      <w:r>
        <w:t xml:space="preserve"> </w:t>
      </w:r>
      <w:r>
        <w:rPr>
          <w:bCs/>
          <w:b/>
        </w:rPr>
        <w:t xml:space="preserve">Qwen 3 8B</w:t>
      </w:r>
      <w:r>
        <w:t xml:space="preserve"> </w:t>
      </w:r>
      <w:r>
        <w:t xml:space="preserve">models with simulated human memory to teach</w:t>
      </w:r>
      <w:r>
        <w:t xml:space="preserve"> </w:t>
      </w:r>
      <w:r>
        <w:rPr>
          <w:bCs/>
          <w:b/>
        </w:rPr>
        <w:t xml:space="preserve">100,000 fake students</w:t>
      </w:r>
      <w:r>
        <w:t xml:space="preserve"> </w:t>
      </w:r>
      <w:r>
        <w:t xml:space="preserve">social science content. Their average AP practice score reportedly rose from</w:t>
      </w:r>
      <w:r>
        <w:t xml:space="preserve"> </w:t>
      </w:r>
      <w:r>
        <w:rPr>
          <w:bCs/>
          <w:b/>
        </w:rPr>
        <w:t xml:space="preserve">3</w:t>
      </w:r>
      <w:r>
        <w:t xml:space="preserve"> </w:t>
      </w:r>
      <w:r>
        <w:t xml:space="preserve">to</w:t>
      </w:r>
      <w:r>
        <w:t xml:space="preserve"> </w:t>
      </w:r>
      <w:r>
        <w:rPr>
          <w:bCs/>
          <w:b/>
        </w:rPr>
        <w:t xml:space="preserve">4.43</w:t>
      </w:r>
      <w:r>
        <w:t xml:space="preserve"> </w:t>
      </w:r>
      <w:r>
        <w:t xml:space="preserve">in two weeks. That is not evidence from human learners, but it does point to a new kind of curriculum-testing loop for edtech teams [5].</w:t>
      </w:r>
    </w:p>
    <w:bookmarkEnd w:id="20"/>
    <w:bookmarkStart w:id="25" w:name="X091d12a42ce76e8162cefad3e24d701cfaf1f57"/>
    <w:p>
      <w:pPr>
        <w:pStyle w:val="Heading2"/>
      </w:pPr>
      <w:r>
        <w:t xml:space="preserve">Educator capacity is becoming infrastructure</w:t>
      </w:r>
    </w:p>
    <w:p>
      <w:pPr>
        <w:pStyle w:val="FirstParagraph"/>
      </w:pPr>
      <w:r>
        <w:t xml:space="preserve">The second major shift is that institutions are putting real weight behind educator enablement. The NSF awarded</w:t>
      </w:r>
      <w:r>
        <w:t xml:space="preserve"> </w:t>
      </w:r>
      <w:r>
        <w:rPr>
          <w:bCs/>
          <w:b/>
        </w:rPr>
        <w:t xml:space="preserve">CSTA $11M</w:t>
      </w:r>
      <w:r>
        <w:t xml:space="preserve"> </w:t>
      </w:r>
      <w:r>
        <w:t xml:space="preserve">to expand AI professional development for U.S. K-12 teachers [6].</w:t>
      </w:r>
    </w:p>
    <w:p>
      <w:pPr>
        <w:pStyle w:val="BodyText"/>
      </w:pPr>
      <w:r>
        <w:t xml:space="preserve">At the district level, Mead School District’s four-part AI PD series starts with</w:t>
      </w:r>
      <w:r>
        <w:t xml:space="preserve"> </w:t>
      </w:r>
      <w:r>
        <w:rPr>
          <w:bCs/>
          <w:b/>
        </w:rPr>
        <w:t xml:space="preserve">AI literacy before tool choice</w:t>
      </w:r>
      <w:r>
        <w:t xml:space="preserve">, then moves through cheating and assessment redesign, student use, and teacher workflow. Post-training data showed a</w:t>
      </w:r>
      <w:r>
        <w:t xml:space="preserve"> </w:t>
      </w:r>
      <w:r>
        <w:rPr>
          <w:bCs/>
          <w:b/>
        </w:rPr>
        <w:t xml:space="preserve">50% increase</w:t>
      </w:r>
      <w:r>
        <w:t xml:space="preserve"> </w:t>
      </w:r>
      <w:r>
        <w:t xml:space="preserve">in teacher confidence using AI with students and a</w:t>
      </w:r>
      <w:r>
        <w:t xml:space="preserve"> </w:t>
      </w:r>
      <w:r>
        <w:rPr>
          <w:bCs/>
          <w:b/>
        </w:rPr>
        <w:t xml:space="preserve">48% boost</w:t>
      </w:r>
      <w:r>
        <w:t xml:space="preserve"> </w:t>
      </w:r>
      <w:r>
        <w:t xml:space="preserve">in preparedness to teach AI ethics [7].</w:t>
      </w:r>
    </w:p>
    <w:p>
      <w:pPr>
        <w:pStyle w:val="BodyText"/>
      </w:pPr>
      <w:r>
        <w:t xml:space="preserve">Higher ed is testing lighter-weight models. At the University of Michigan-Dearborn,</w:t>
      </w:r>
      <w:r>
        <w:t xml:space="preserve"> </w:t>
      </w:r>
      <w:r>
        <w:t xml:space="preserve">“</w:t>
      </w:r>
      <w:r>
        <w:t xml:space="preserve">No-Prep</w:t>
      </w:r>
      <w:r>
        <w:t xml:space="preserve">”</w:t>
      </w:r>
      <w:r>
        <w:t xml:space="preserve"> </w:t>
      </w:r>
      <w:r>
        <w:t xml:space="preserve">GenAI sessions combine a quick intro, about</w:t>
      </w:r>
      <w:r>
        <w:t xml:space="preserve"> </w:t>
      </w:r>
      <w:r>
        <w:rPr>
          <w:bCs/>
          <w:b/>
        </w:rPr>
        <w:t xml:space="preserve">20 minutes</w:t>
      </w:r>
      <w:r>
        <w:t xml:space="preserve"> </w:t>
      </w:r>
      <w:r>
        <w:t xml:space="preserve">of tinkering, and discussion using a</w:t>
      </w:r>
      <w:r>
        <w:t xml:space="preserve"> </w:t>
      </w:r>
      <w:r>
        <w:rPr>
          <w:bCs/>
          <w:b/>
        </w:rPr>
        <w:t xml:space="preserve">Four T</w:t>
      </w:r>
      <w:r>
        <w:t xml:space="preserve"> </w:t>
      </w:r>
      <w:r>
        <w:t xml:space="preserve">framework —</w:t>
      </w:r>
      <w:r>
        <w:t xml:space="preserve"> </w:t>
      </w:r>
      <w:r>
        <w:rPr>
          <w:iCs/>
          <w:i/>
        </w:rPr>
        <w:t xml:space="preserve">touch base, tinker time, talk, transition</w:t>
      </w:r>
      <w:r>
        <w:t xml:space="preserve"> </w:t>
      </w:r>
      <w:r>
        <w:t xml:space="preserve">— designed to work for both skeptical and enthusiastic faculty [8].</w:t>
      </w:r>
    </w:p>
    <w:p>
      <w:pPr>
        <w:pStyle w:val="BlockText"/>
      </w:pPr>
      <w:r>
        <w:t xml:space="preserve">“</w:t>
      </w:r>
      <w:r>
        <w:t xml:space="preserve">faculty are hungry to talk to each other about GenAI</w:t>
      </w:r>
      <w:r>
        <w:t xml:space="preserve">”</w:t>
      </w:r>
      <w:r>
        <w:t xml:space="preserve"> </w:t>
      </w:r>
      <w:r>
        <w:t xml:space="preserve">[8]</w:t>
      </w:r>
    </w:p>
    <w:p>
      <w:pPr>
        <w:pStyle w:val="FirstParagraph"/>
      </w:pPr>
      <w:r>
        <w:t xml:space="preserve">Those conversations are not just about adoption. Faculty also raised concerns about workload from fabricated citations, trust gaps between students, faculty, and administrators, and the risk of offloading too much thinking to AI [8].</w:t>
      </w:r>
    </w:p>
    <w:p>
      <w:pPr>
        <w:pStyle w:val="BodyText"/>
      </w:pPr>
      <w:r>
        <w:t xml:space="preserve">In K-12 practice, educators interviewed by ISTE described moving from fear of AI-written student papers to using</w:t>
      </w:r>
      <w:r>
        <w:t xml:space="preserve"> </w:t>
      </w:r>
      <w:r>
        <w:rPr>
          <w:bCs/>
          <w:b/>
        </w:rPr>
        <w:t xml:space="preserve">Gemini as a thought partner</w:t>
      </w:r>
      <w:r>
        <w:t xml:space="preserve"> </w:t>
      </w:r>
      <w:r>
        <w:t xml:space="preserve">for lesson design,</w:t>
      </w:r>
      <w:r>
        <w:t xml:space="preserve"> </w:t>
      </w:r>
      <w:r>
        <w:rPr>
          <w:bCs/>
          <w:b/>
        </w:rPr>
        <w:t xml:space="preserve">NotebookLM</w:t>
      </w:r>
      <w:r>
        <w:t xml:space="preserve"> </w:t>
      </w:r>
      <w:r>
        <w:t xml:space="preserve">to turn dense readings into podcasts, and explanation-based assessment to check understanding — while still emphasizing ethics, bias checks, and the need to preserve the human element [9].</w:t>
      </w:r>
    </w:p>
    <w:p>
      <w:pPr>
        <w:pStyle w:val="BodyText"/>
      </w:pPr>
      <w:hyperlink r:id="rId24">
        <w:r>
          <w:drawing>
            <wp:inline>
              <wp:extent cx="5334000" cy="4000500"/>
              <wp:effectExtent b="0" l="0" r="0" t="0"/>
              <wp:docPr descr="Case Study: Moving from Fear to Agency at Winchester Public Schools" title="" id="22" name="Picture"/>
              <a:graphic>
                <a:graphicData uri="http://schemas.openxmlformats.org/drawingml/2006/picture">
                  <pic:pic>
                    <pic:nvPicPr>
                      <pic:cNvPr descr="https://img.youtube.com/vi/TbT9IKJjqxI/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Case Study: Moving from Fear to Agency at Winchester Public Schools (1:22)</w:t>
      </w:r>
    </w:p>
    <w:bookmarkEnd w:id="25"/>
    <w:bookmarkStart w:id="26" w:name="X550e27d44664c46b22fdfb541edb31ca49d6d6a"/>
    <w:p>
      <w:pPr>
        <w:pStyle w:val="Heading2"/>
      </w:pPr>
      <w:r>
        <w:t xml:space="preserve">AI is moving into the daily workflow — for teachers, students, and support staff</w:t>
      </w:r>
    </w:p>
    <w:p>
      <w:pPr>
        <w:pStyle w:val="FirstParagraph"/>
      </w:pPr>
      <w:r>
        <w:t xml:space="preserve">The most useful product news this week was not another all-purpose chatbot. It was AI tied to specific jobs inside the learning workflow.</w:t>
      </w:r>
    </w:p>
    <w:p>
      <w:pPr>
        <w:numPr>
          <w:ilvl w:val="0"/>
          <w:numId w:val="1001"/>
        </w:numPr>
        <w:pStyle w:val="Compact"/>
      </w:pPr>
      <w:r>
        <w:rPr>
          <w:bCs/>
          <w:b/>
        </w:rPr>
        <w:t xml:space="preserve">Kira 2.0</w:t>
      </w:r>
      <w:r>
        <w:t xml:space="preserve"> </w:t>
      </w:r>
      <w:r>
        <w:t xml:space="preserve">calls itself an</w:t>
      </w:r>
      <w:r>
        <w:t xml:space="preserve"> </w:t>
      </w:r>
      <w:r>
        <w:t xml:space="preserve">“</w:t>
      </w:r>
      <w:r>
        <w:t xml:space="preserve">AI operating system for education.</w:t>
      </w:r>
      <w:r>
        <w:t xml:space="preserve">”</w:t>
      </w:r>
      <w:r>
        <w:t xml:space="preserve"> </w:t>
      </w:r>
      <w:r>
        <w:t xml:space="preserve">Its</w:t>
      </w:r>
      <w:r>
        <w:t xml:space="preserve"> </w:t>
      </w:r>
      <w:r>
        <w:rPr>
          <w:bCs/>
          <w:b/>
        </w:rPr>
        <w:t xml:space="preserve">Student Atlas</w:t>
      </w:r>
      <w:r>
        <w:t xml:space="preserve"> </w:t>
      </w:r>
      <w:r>
        <w:t xml:space="preserve">maps skills and gaps and can generate interventions, lessons, and IEP drafts;</w:t>
      </w:r>
      <w:r>
        <w:t xml:space="preserve"> </w:t>
      </w:r>
      <w:r>
        <w:rPr>
          <w:bCs/>
          <w:b/>
        </w:rPr>
        <w:t xml:space="preserve">Course Studio</w:t>
      </w:r>
      <w:r>
        <w:t xml:space="preserve"> </w:t>
      </w:r>
      <w:r>
        <w:t xml:space="preserve">can build standards-aligned courses; and its assessment builder feeds grading and feedback back into the same system. The upside is consolidation. The caveat, from early district leaders, is that deployment requires strong instructional leadership and broad AI literacy to keep use consistent across teachers [10].</w:t>
      </w:r>
    </w:p>
    <w:p>
      <w:pPr>
        <w:numPr>
          <w:ilvl w:val="0"/>
          <w:numId w:val="1001"/>
        </w:numPr>
        <w:pStyle w:val="Compact"/>
      </w:pPr>
      <w:r>
        <w:t xml:space="preserve">A university pilot of an AI support platform inside the</w:t>
      </w:r>
      <w:r>
        <w:t xml:space="preserve"> </w:t>
      </w:r>
      <w:r>
        <w:rPr>
          <w:bCs/>
          <w:b/>
        </w:rPr>
        <w:t xml:space="preserve">LMS and student portal</w:t>
      </w:r>
      <w:r>
        <w:t xml:space="preserve"> </w:t>
      </w:r>
      <w:r>
        <w:t xml:space="preserve">reduced repetitive queries, freed staff for harder cases, and gave students 24/7 help with routine issues. But it was intentionally restricted to</w:t>
      </w:r>
      <w:r>
        <w:t xml:space="preserve"> </w:t>
      </w:r>
      <w:r>
        <w:rPr>
          <w:bCs/>
          <w:b/>
        </w:rPr>
        <w:t xml:space="preserve">approved institutional content</w:t>
      </w:r>
      <w:r>
        <w:t xml:space="preserve">, every answer had a traceable source, and the team stressed that it complements rather than replaces human advisors — and only works with a well-managed knowledge base [11].</w:t>
      </w:r>
    </w:p>
    <w:p>
      <w:pPr>
        <w:numPr>
          <w:ilvl w:val="0"/>
          <w:numId w:val="1001"/>
        </w:numPr>
        <w:pStyle w:val="Compact"/>
      </w:pPr>
      <w:r>
        <w:rPr>
          <w:bCs/>
          <w:b/>
        </w:rPr>
        <w:t xml:space="preserve">ChatDOC</w:t>
      </w:r>
      <w:r>
        <w:t xml:space="preserve"> </w:t>
      </w:r>
      <w:r>
        <w:t xml:space="preserve">lets users chat with PDFs, summarize dense texts, search specific sections, generate quiz questions, and click through to cited passages. Its limitation is the same one many educators worry about: summaries can become repetitive or too abstract, and students may rely on the summary instead of reading the source [12].</w:t>
      </w:r>
    </w:p>
    <w:p>
      <w:pPr>
        <w:numPr>
          <w:ilvl w:val="0"/>
          <w:numId w:val="1001"/>
        </w:numPr>
        <w:pStyle w:val="Compact"/>
      </w:pPr>
      <w:r>
        <w:rPr>
          <w:bCs/>
          <w:b/>
        </w:rPr>
        <w:t xml:space="preserve">NotebookLM</w:t>
      </w:r>
      <w:r>
        <w:t xml:space="preserve"> </w:t>
      </w:r>
      <w:r>
        <w:t xml:space="preserve">rolled out</w:t>
      </w:r>
      <w:r>
        <w:t xml:space="preserve"> </w:t>
      </w:r>
      <w:r>
        <w:rPr>
          <w:bCs/>
          <w:b/>
        </w:rPr>
        <w:t xml:space="preserve">Cinematic Video Overviews</w:t>
      </w:r>
      <w:r>
        <w:t xml:space="preserve"> </w:t>
      </w:r>
      <w:r>
        <w:t xml:space="preserve">to all Pro users in English, extending note synthesis into shareable video summaries. Useful scope expansion; still limited by plan and language availability [13].</w:t>
      </w:r>
    </w:p>
    <w:bookmarkEnd w:id="26"/>
    <w:bookmarkStart w:id="27" w:name="X5657c086c7e215062855eb02ae57f3eaf5cb246"/>
    <w:p>
      <w:pPr>
        <w:pStyle w:val="Heading2"/>
      </w:pPr>
      <w:r>
        <w:t xml:space="preserve">Adoption is outrunning policy — and many learners are still unconvinced</w:t>
      </w:r>
    </w:p>
    <w:p>
      <w:pPr>
        <w:pStyle w:val="FirstParagraph"/>
      </w:pPr>
      <w:r>
        <w:t xml:space="preserve">The 2026</w:t>
      </w:r>
      <w:r>
        <w:t xml:space="preserve"> </w:t>
      </w:r>
      <w:r>
        <w:rPr>
          <w:bCs/>
          <w:b/>
        </w:rPr>
        <w:t xml:space="preserve">EDUCAUSE Students and Technology Report</w:t>
      </w:r>
      <w:r>
        <w:t xml:space="preserve">, based on about</w:t>
      </w:r>
      <w:r>
        <w:t xml:space="preserve"> </w:t>
      </w:r>
      <w:r>
        <w:rPr>
          <w:bCs/>
          <w:b/>
        </w:rPr>
        <w:t xml:space="preserve">8,600 students</w:t>
      </w:r>
      <w:r>
        <w:t xml:space="preserve"> </w:t>
      </w:r>
      <w:r>
        <w:t xml:space="preserve">across</w:t>
      </w:r>
      <w:r>
        <w:t xml:space="preserve"> </w:t>
      </w:r>
      <w:r>
        <w:rPr>
          <w:bCs/>
          <w:b/>
        </w:rPr>
        <w:t xml:space="preserve">41 institution types</w:t>
      </w:r>
      <w:r>
        <w:t xml:space="preserve">, found that only</w:t>
      </w:r>
      <w:r>
        <w:t xml:space="preserve"> </w:t>
      </w:r>
      <w:r>
        <w:rPr>
          <w:bCs/>
          <w:b/>
        </w:rPr>
        <w:t xml:space="preserve">14%</w:t>
      </w:r>
      <w:r>
        <w:t xml:space="preserve"> </w:t>
      </w:r>
      <w:r>
        <w:t xml:space="preserve">expect to use generative AI to a great extent in their future careers. Students also reported feeling less prepared in AI and related technological competencies than in other professional skills, often because of restricted use, limited exposure, and inconsistent course policies [14, 15].</w:t>
      </w:r>
    </w:p>
    <w:p>
      <w:pPr>
        <w:pStyle w:val="BodyText"/>
      </w:pPr>
      <w:r>
        <w:t xml:space="preserve">The practical message is not simply</w:t>
      </w:r>
      <w:r>
        <w:t xml:space="preserve"> </w:t>
      </w:r>
      <w:r>
        <w:t xml:space="preserve">“</w:t>
      </w:r>
      <w:r>
        <w:t xml:space="preserve">add more AI.</w:t>
      </w:r>
      <w:r>
        <w:t xml:space="preserve">”</w:t>
      </w:r>
      <w:r>
        <w:t xml:space="preserve"> </w:t>
      </w:r>
      <w:r>
        <w:t xml:space="preserve">Students want</w:t>
      </w:r>
      <w:r>
        <w:t xml:space="preserve"> </w:t>
      </w:r>
      <w:r>
        <w:rPr>
          <w:bCs/>
          <w:b/>
        </w:rPr>
        <w:t xml:space="preserve">AI in the disciplines</w:t>
      </w:r>
      <w:r>
        <w:t xml:space="preserve">, clearer guidance on good and bad uses, technology simplicity, and strong instructor presence. They also want fewer tools and more intentional integration across courses [14, 15].</w:t>
      </w:r>
    </w:p>
    <w:p>
      <w:pPr>
        <w:pStyle w:val="BodyText"/>
      </w:pPr>
      <w:r>
        <w:t xml:space="preserve">National policy is not closing that gap yet. A White House AI legislative framework highlighted child safety and federal preemption of state AI laws, but an independent science AI evaluator noted that it still does not tell schools whether a classroom AI tool is scientifically accurate, whether it fails silently, or how to evaluate tools already in use [16].</w:t>
      </w:r>
    </w:p>
    <w:bookmarkEnd w:id="27"/>
    <w:bookmarkStart w:id="28" w:name="what-this-means"/>
    <w:p>
      <w:pPr>
        <w:pStyle w:val="Heading2"/>
      </w:pPr>
      <w:r>
        <w:t xml:space="preserve">What This Means</w:t>
      </w:r>
    </w:p>
    <w:p>
      <w:pPr>
        <w:numPr>
          <w:ilvl w:val="0"/>
          <w:numId w:val="1002"/>
        </w:numPr>
        <w:pStyle w:val="Compact"/>
      </w:pPr>
      <w:r>
        <w:rPr>
          <w:bCs/>
          <w:b/>
        </w:rPr>
        <w:t xml:space="preserve">For school systems:</w:t>
      </w:r>
      <w:r>
        <w:t xml:space="preserve"> </w:t>
      </w:r>
      <w:r>
        <w:t xml:space="preserve">this week’s most concrete implementation signals came from PD models and support structures — district series, no-prep faculty sessions, and NSF-backed teacher training — not just feature launches [6, 7, 8].</w:t>
      </w:r>
    </w:p>
    <w:p>
      <w:pPr>
        <w:numPr>
          <w:ilvl w:val="0"/>
          <w:numId w:val="1002"/>
        </w:numPr>
        <w:pStyle w:val="Compact"/>
      </w:pPr>
      <w:r>
        <w:rPr>
          <w:bCs/>
          <w:b/>
        </w:rPr>
        <w:t xml:space="preserve">For instructional designers and teachers:</w:t>
      </w:r>
      <w:r>
        <w:t xml:space="preserve"> </w:t>
      </w:r>
      <w:r>
        <w:t xml:space="preserve">AI looks strongest when it sequences practice, coaches communication, surfaces sources, or forces explanation. It looks weaker when it simply replaces reading, writing, or judgment [2, 4, 12, 9].</w:t>
      </w:r>
    </w:p>
    <w:p>
      <w:pPr>
        <w:numPr>
          <w:ilvl w:val="0"/>
          <w:numId w:val="1002"/>
        </w:numPr>
        <w:pStyle w:val="Compact"/>
      </w:pPr>
      <w:r>
        <w:rPr>
          <w:bCs/>
          <w:b/>
        </w:rPr>
        <w:t xml:space="preserve">For buyers and product teams:</w:t>
      </w:r>
      <w:r>
        <w:t xml:space="preserve"> </w:t>
      </w:r>
      <w:r>
        <w:t xml:space="preserve">grounding, source traceability, leadership requirements, and human fallback are now core product questions, not edge cases [11, 10, 12].</w:t>
      </w:r>
    </w:p>
    <w:p>
      <w:pPr>
        <w:numPr>
          <w:ilvl w:val="0"/>
          <w:numId w:val="1002"/>
        </w:numPr>
        <w:pStyle w:val="Compact"/>
      </w:pPr>
      <w:r>
        <w:rPr>
          <w:bCs/>
          <w:b/>
        </w:rPr>
        <w:t xml:space="preserve">For higher ed and workforce leaders:</w:t>
      </w:r>
      <w:r>
        <w:t xml:space="preserve"> </w:t>
      </w:r>
      <w:r>
        <w:t xml:space="preserve">do not assume students already see AI as career-critical. They may need discipline-specific examples and more consistent policy before access turns into real skill-building [15, 14].</w:t>
      </w:r>
    </w:p>
    <w:bookmarkEnd w:id="28"/>
    <w:bookmarkStart w:id="56" w:name="watch-this-space"/>
    <w:p>
      <w:pPr>
        <w:pStyle w:val="Heading2"/>
      </w:pPr>
      <w:r>
        <w:t xml:space="preserve">Watch This Space</w:t>
      </w:r>
    </w:p>
    <w:p>
      <w:pPr>
        <w:numPr>
          <w:ilvl w:val="0"/>
          <w:numId w:val="1003"/>
        </w:numPr>
        <w:pStyle w:val="Compact"/>
      </w:pPr>
      <w:r>
        <w:rPr>
          <w:bCs/>
          <w:b/>
        </w:rPr>
        <w:t xml:space="preserve">AI-native technical education.</w:t>
      </w:r>
      <w:r>
        <w:t xml:space="preserve"> </w:t>
      </w:r>
      <w:r>
        <w:t xml:space="preserve">New curricula like</w:t>
      </w:r>
      <w:r>
        <w:t xml:space="preserve"> </w:t>
      </w:r>
      <w:r>
        <w:rPr>
          <w:bCs/>
          <w:b/>
        </w:rPr>
        <w:t xml:space="preserve">Beyond Vibe Code</w:t>
      </w:r>
      <w:r>
        <w:t xml:space="preserve"> </w:t>
      </w:r>
      <w:r>
        <w:t xml:space="preserve">are being built specifically for learners who already use AI coding apps, with</w:t>
      </w:r>
      <w:r>
        <w:t xml:space="preserve"> </w:t>
      </w:r>
      <w:r>
        <w:rPr>
          <w:bCs/>
          <w:b/>
        </w:rPr>
        <w:t xml:space="preserve">35 modules/projects</w:t>
      </w:r>
      <w:r>
        <w:t xml:space="preserve"> </w:t>
      </w:r>
      <w:r>
        <w:t xml:space="preserve">and</w:t>
      </w:r>
      <w:r>
        <w:t xml:space="preserve"> </w:t>
      </w:r>
      <w:r>
        <w:rPr>
          <w:bCs/>
          <w:b/>
        </w:rPr>
        <w:t xml:space="preserve">250+ interactive lessons</w:t>
      </w:r>
      <w:r>
        <w:t xml:space="preserve"> </w:t>
      </w:r>
      <w:r>
        <w:t xml:space="preserve">designed to work alongside those tools while going deeper under the hood [17, 18, 19]. Andrej Karpathy is pushing the same idea further: education may need to teach humans to</w:t>
      </w:r>
      <w:r>
        <w:t xml:space="preserve"> </w:t>
      </w:r>
      <w:r>
        <w:rPr>
          <w:bCs/>
          <w:b/>
        </w:rPr>
        <w:t xml:space="preserve">instruct agents</w:t>
      </w:r>
      <w:r>
        <w:t xml:space="preserve"> </w:t>
      </w:r>
      <w:r>
        <w:t xml:space="preserve">to write software, not just write every line themselves [20, 21].</w:t>
      </w:r>
    </w:p>
    <w:p>
      <w:pPr>
        <w:pStyle w:val="FirstParagraph"/>
      </w:pPr>
      <w:hyperlink r:id="rId32">
        <w:r>
          <w:drawing>
            <wp:inline>
              <wp:extent cx="5334000" cy="4000500"/>
              <wp:effectExtent b="0" l="0" r="0" t="0"/>
              <wp:docPr descr="🌀 The Agentic Psychosis: Andrej Karpathy on AutoResearch and Code Claws" title="" id="30" name="Picture"/>
              <a:graphic>
                <a:graphicData uri="http://schemas.openxmlformats.org/drawingml/2006/picture">
                  <pic:pic>
                    <pic:nvPicPr>
                      <pic:cNvPr descr="https://img.youtube.com/vi/2qjnVpEb6Cw/hqdefault.jpg" id="31" name="Picture"/>
                      <pic:cNvPicPr>
                        <a:picLocks noChangeArrowheads="1" noChangeAspect="1"/>
                      </pic:cNvPicPr>
                    </pic:nvPicPr>
                    <pic:blipFill>
                      <a:blip r:embed="rId29"/>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 The Agentic Psychosis: Andrej Karpathy on AutoResearch and Code Claws (8:55)</w:t>
      </w:r>
    </w:p>
    <w:p>
      <w:pPr>
        <w:numPr>
          <w:ilvl w:val="0"/>
          <w:numId w:val="1004"/>
        </w:numPr>
        <w:pStyle w:val="Compact"/>
      </w:pPr>
      <w:r>
        <w:rPr>
          <w:bCs/>
          <w:b/>
        </w:rPr>
        <w:t xml:space="preserve">Sustainability and discernment.</w:t>
      </w:r>
      <w:r>
        <w:t xml:space="preserve"> </w:t>
      </w:r>
      <w:r>
        <w:t xml:space="preserve">One education podcast guest said data centers now consume</w:t>
      </w:r>
      <w:r>
        <w:t xml:space="preserve"> </w:t>
      </w:r>
      <w:r>
        <w:rPr>
          <w:bCs/>
          <w:b/>
        </w:rPr>
        <w:t xml:space="preserve">more than 50% of Dublin’s electricity</w:t>
      </w:r>
      <w:r>
        <w:t xml:space="preserve">, and argued schools should teach students to ask whether an AI use genuinely improves learning or simply reduces productive struggle [22].</w:t>
      </w:r>
    </w:p>
    <w:p>
      <w:pPr>
        <w:numPr>
          <w:ilvl w:val="0"/>
          <w:numId w:val="1004"/>
        </w:numPr>
        <w:pStyle w:val="Compact"/>
      </w:pPr>
      <w:r>
        <w:rPr>
          <w:bCs/>
          <w:b/>
        </w:rPr>
        <w:t xml:space="preserve">Human feedback as a differentiator.</w:t>
      </w:r>
      <w:r>
        <w:t xml:space="preserve"> </w:t>
      </w:r>
      <w:r>
        <w:t xml:space="preserve">Students in multiple conversations said they still value teacher feedback over AI-generated responses, and educators warned against losing the human relationship at the center of learning [22, 9].</w:t>
      </w:r>
    </w:p>
    <w:p>
      <w:pPr>
        <w:numPr>
          <w:ilvl w:val="0"/>
          <w:numId w:val="1004"/>
        </w:numPr>
        <w:pStyle w:val="Compact"/>
      </w:pPr>
      <w:r>
        <w:rPr>
          <w:bCs/>
          <w:b/>
        </w:rPr>
        <w:t xml:space="preserve">Evaluation frameworks.</w:t>
      </w:r>
      <w:r>
        <w:t xml:space="preserve"> </w:t>
      </w:r>
      <w:r>
        <w:t xml:space="preserve">Policy is moving faster than school-level evaluation, especially for subject-specific classroom tools [16].</w:t>
      </w:r>
    </w:p>
    <w:p>
      <w:r>
        <w:pict>
          <v:rect style="width:0;height:1.5pt" o:hralign="center" o:hrstd="t" o:hr="t"/>
        </w:pict>
      </w:r>
    </w:p>
    <w:bookmarkStart w:id="55" w:name="sources"/>
    <w:p>
      <w:pPr>
        <w:pStyle w:val="Heading3"/>
      </w:pPr>
      <w:r>
        <w:t xml:space="preserve">Sources</w:t>
      </w:r>
    </w:p>
    <w:p>
      <w:pPr>
        <w:numPr>
          <w:ilvl w:val="0"/>
          <w:numId w:val="1005"/>
        </w:numPr>
        <w:pStyle w:val="Compact"/>
      </w:pPr>
      <w:hyperlink r:id="rId33">
        <w:r>
          <w:rPr>
            <w:rStyle w:val="Hyperlink"/>
          </w:rPr>
          <w:t xml:space="preserve">𝕏 post by</w:t>
        </w:r>
        <w:r>
          <w:rPr>
            <w:rStyle w:val="Hyperlink"/>
          </w:rPr>
          <w:t xml:space="preserve"> </w:t>
        </w:r>
        <w:r>
          <w:rPr>
            <w:rStyle w:val="Hyperlink"/>
          </w:rPr>
          <w:t xml:space="preserve">@emollick</w:t>
        </w:r>
      </w:hyperlink>
    </w:p>
    <w:p>
      <w:pPr>
        <w:numPr>
          <w:ilvl w:val="0"/>
          <w:numId w:val="1005"/>
        </w:numPr>
        <w:pStyle w:val="Compact"/>
      </w:pPr>
      <w:hyperlink r:id="rId34">
        <w:r>
          <w:rPr>
            <w:rStyle w:val="Hyperlink"/>
          </w:rPr>
          <w:t xml:space="preserve">𝕏 post by</w:t>
        </w:r>
        <w:r>
          <w:rPr>
            <w:rStyle w:val="Hyperlink"/>
          </w:rPr>
          <w:t xml:space="preserve"> </w:t>
        </w:r>
        <w:r>
          <w:rPr>
            <w:rStyle w:val="Hyperlink"/>
          </w:rPr>
          <w:t xml:space="preserve">@hamsabastani</w:t>
        </w:r>
      </w:hyperlink>
    </w:p>
    <w:p>
      <w:pPr>
        <w:numPr>
          <w:ilvl w:val="0"/>
          <w:numId w:val="1005"/>
        </w:numPr>
        <w:pStyle w:val="Compact"/>
      </w:pPr>
      <w:hyperlink r:id="rId35">
        <w:r>
          <w:rPr>
            <w:rStyle w:val="Hyperlink"/>
          </w:rPr>
          <w:t xml:space="preserve">𝕏 post by</w:t>
        </w:r>
        <w:r>
          <w:rPr>
            <w:rStyle w:val="Hyperlink"/>
          </w:rPr>
          <w:t xml:space="preserve"> </w:t>
        </w:r>
        <w:r>
          <w:rPr>
            <w:rStyle w:val="Hyperlink"/>
          </w:rPr>
          <w:t xml:space="preserve">@emollick</w:t>
        </w:r>
      </w:hyperlink>
    </w:p>
    <w:p>
      <w:pPr>
        <w:numPr>
          <w:ilvl w:val="0"/>
          <w:numId w:val="1005"/>
        </w:numPr>
        <w:pStyle w:val="Compact"/>
      </w:pPr>
      <w:hyperlink r:id="rId36">
        <w:r>
          <w:rPr>
            <w:rStyle w:val="Hyperlink"/>
          </w:rPr>
          <w:t xml:space="preserve">𝕏 post by</w:t>
        </w:r>
        <w:r>
          <w:rPr>
            <w:rStyle w:val="Hyperlink"/>
          </w:rPr>
          <w:t xml:space="preserve"> </w:t>
        </w:r>
        <w:r>
          <w:rPr>
            <w:rStyle w:val="Hyperlink"/>
          </w:rPr>
          <w:t xml:space="preserve">@emollick</w:t>
        </w:r>
      </w:hyperlink>
    </w:p>
    <w:p>
      <w:pPr>
        <w:numPr>
          <w:ilvl w:val="0"/>
          <w:numId w:val="1005"/>
        </w:numPr>
        <w:pStyle w:val="Compact"/>
      </w:pPr>
      <w:hyperlink r:id="rId37">
        <w:r>
          <w:rPr>
            <w:rStyle w:val="Hyperlink"/>
          </w:rPr>
          <w:t xml:space="preserve">𝕏 post by</w:t>
        </w:r>
        <w:r>
          <w:rPr>
            <w:rStyle w:val="Hyperlink"/>
          </w:rPr>
          <w:t xml:space="preserve"> </w:t>
        </w:r>
        <w:r>
          <w:rPr>
            <w:rStyle w:val="Hyperlink"/>
          </w:rPr>
          <w:t xml:space="preserve">@AustinA_Way</w:t>
        </w:r>
      </w:hyperlink>
    </w:p>
    <w:p>
      <w:pPr>
        <w:numPr>
          <w:ilvl w:val="0"/>
          <w:numId w:val="1005"/>
        </w:numPr>
        <w:pStyle w:val="Compact"/>
      </w:pPr>
      <w:hyperlink r:id="rId38">
        <w:r>
          <w:rPr>
            <w:rStyle w:val="Hyperlink"/>
          </w:rPr>
          <w:t xml:space="preserve">r/edtech post by u/grendelt</w:t>
        </w:r>
      </w:hyperlink>
    </w:p>
    <w:p>
      <w:pPr>
        <w:numPr>
          <w:ilvl w:val="0"/>
          <w:numId w:val="1005"/>
        </w:numPr>
        <w:pStyle w:val="Compact"/>
      </w:pPr>
      <w:hyperlink r:id="rId39">
        <w:r>
          <w:rPr>
            <w:rStyle w:val="Hyperlink"/>
          </w:rPr>
          <w:t xml:space="preserve">From Apprehension To Empowerment: Creating A Four-Part AI Education PD Series</w:t>
        </w:r>
      </w:hyperlink>
    </w:p>
    <w:p>
      <w:pPr>
        <w:numPr>
          <w:ilvl w:val="0"/>
          <w:numId w:val="1005"/>
        </w:numPr>
        <w:pStyle w:val="Compact"/>
      </w:pPr>
      <w:hyperlink r:id="rId40">
        <w:r>
          <w:rPr>
            <w:rStyle w:val="Hyperlink"/>
          </w:rPr>
          <w:t xml:space="preserve">“</w:t>
        </w:r>
        <w:r>
          <w:rPr>
            <w:rStyle w:val="Hyperlink"/>
          </w:rPr>
          <w:t xml:space="preserve">…faculty are hungry to talk to each other…</w:t>
        </w:r>
        <w:r>
          <w:rPr>
            <w:rStyle w:val="Hyperlink"/>
          </w:rPr>
          <w:t xml:space="preserve">”</w:t>
        </w:r>
      </w:hyperlink>
    </w:p>
    <w:p>
      <w:pPr>
        <w:numPr>
          <w:ilvl w:val="0"/>
          <w:numId w:val="1005"/>
        </w:numPr>
        <w:pStyle w:val="Compact"/>
      </w:pPr>
      <w:hyperlink r:id="rId41">
        <w:r>
          <w:rPr>
            <w:rStyle w:val="Hyperlink"/>
          </w:rPr>
          <w:t xml:space="preserve">Case Study: Moving from Fear to Agency at Winchester Public Schools</w:t>
        </w:r>
      </w:hyperlink>
    </w:p>
    <w:p>
      <w:pPr>
        <w:numPr>
          <w:ilvl w:val="0"/>
          <w:numId w:val="1005"/>
        </w:numPr>
        <w:pStyle w:val="Compact"/>
      </w:pPr>
      <w:hyperlink r:id="rId42">
        <w:r>
          <w:rPr>
            <w:rStyle w:val="Hyperlink"/>
          </w:rPr>
          <w:t xml:space="preserve">Take Teaching To The Next Level: Live From The Kira Event</w:t>
        </w:r>
      </w:hyperlink>
    </w:p>
    <w:p>
      <w:pPr>
        <w:numPr>
          <w:ilvl w:val="0"/>
          <w:numId w:val="1005"/>
        </w:numPr>
        <w:pStyle w:val="Compact"/>
      </w:pPr>
      <w:hyperlink r:id="rId43">
        <w:r>
          <w:rPr>
            <w:rStyle w:val="Hyperlink"/>
          </w:rPr>
          <w:t xml:space="preserve">r/edtech post by u/Beneficial_Cost8666</w:t>
        </w:r>
      </w:hyperlink>
    </w:p>
    <w:p>
      <w:pPr>
        <w:numPr>
          <w:ilvl w:val="0"/>
          <w:numId w:val="1005"/>
        </w:numPr>
        <w:pStyle w:val="Compact"/>
      </w:pPr>
      <w:hyperlink r:id="rId44">
        <w:r>
          <w:rPr>
            <w:rStyle w:val="Hyperlink"/>
          </w:rPr>
          <w:t xml:space="preserve">ChatDOC: Teaching With The AI Summarizing Tool</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@NotebookLM</w:t>
        </w:r>
      </w:hyperlink>
    </w:p>
    <w:p>
      <w:pPr>
        <w:numPr>
          <w:ilvl w:val="0"/>
          <w:numId w:val="1005"/>
        </w:numPr>
        <w:pStyle w:val="Compact"/>
      </w:pPr>
      <w:hyperlink r:id="rId46">
        <w:r>
          <w:rPr>
            <w:rStyle w:val="Hyperlink"/>
          </w:rPr>
          <w:t xml:space="preserve">Technology for Student and Faculty Freedom | Shop Talk</w:t>
        </w:r>
      </w:hyperlink>
    </w:p>
    <w:p>
      <w:pPr>
        <w:numPr>
          <w:ilvl w:val="0"/>
          <w:numId w:val="1005"/>
        </w:numPr>
        <w:pStyle w:val="Compact"/>
      </w:pPr>
      <w:hyperlink r:id="rId47">
        <w:r>
          <w:rPr>
            <w:rStyle w:val="Hyperlink"/>
          </w:rPr>
          <w:t xml:space="preserve">2026 EDUCAUSE Students and Technology Report</w:t>
        </w:r>
      </w:hyperlink>
    </w:p>
    <w:p>
      <w:pPr>
        <w:numPr>
          <w:ilvl w:val="0"/>
          <w:numId w:val="1005"/>
        </w:numPr>
        <w:pStyle w:val="Compact"/>
      </w:pPr>
      <w:hyperlink r:id="rId48">
        <w:r>
          <w:rPr>
            <w:rStyle w:val="Hyperlink"/>
          </w:rPr>
          <w:t xml:space="preserve">r/edtech post by u/skinzy420</w:t>
        </w:r>
      </w:hyperlink>
    </w:p>
    <w:p>
      <w:pPr>
        <w:numPr>
          <w:ilvl w:val="0"/>
          <w:numId w:val="1005"/>
        </w:numPr>
        <w:pStyle w:val="Compact"/>
      </w:pPr>
      <w:hyperlink r:id="rId49">
        <w:r>
          <w:rPr>
            <w:rStyle w:val="Hyperlink"/>
          </w:rPr>
          <w:t xml:space="preserve">𝕏 post by</w:t>
        </w:r>
        <w:r>
          <w:rPr>
            <w:rStyle w:val="Hyperlink"/>
          </w:rPr>
          <w:t xml:space="preserve"> </w:t>
        </w:r>
        <w:r>
          <w:rPr>
            <w:rStyle w:val="Hyperlink"/>
          </w:rPr>
          <w:t xml:space="preserve">@Austen</w:t>
        </w:r>
      </w:hyperlink>
    </w:p>
    <w:p>
      <w:pPr>
        <w:numPr>
          <w:ilvl w:val="0"/>
          <w:numId w:val="1005"/>
        </w:numPr>
        <w:pStyle w:val="Compact"/>
      </w:pPr>
      <w:hyperlink r:id="rId50">
        <w:r>
          <w:rPr>
            <w:rStyle w:val="Hyperlink"/>
          </w:rPr>
          <w:t xml:space="preserve">𝕏 post by</w:t>
        </w:r>
        <w:r>
          <w:rPr>
            <w:rStyle w:val="Hyperlink"/>
          </w:rPr>
          <w:t xml:space="preserve"> </w:t>
        </w:r>
        <w:r>
          <w:rPr>
            <w:rStyle w:val="Hyperlink"/>
          </w:rPr>
          <w:t xml:space="preserve">@Austen</w:t>
        </w:r>
      </w:hyperlink>
    </w:p>
    <w:p>
      <w:pPr>
        <w:numPr>
          <w:ilvl w:val="0"/>
          <w:numId w:val="1005"/>
        </w:numPr>
        <w:pStyle w:val="Compact"/>
      </w:pPr>
      <w:hyperlink r:id="rId51">
        <w:r>
          <w:rPr>
            <w:rStyle w:val="Hyperlink"/>
          </w:rPr>
          <w:t xml:space="preserve">𝕏 post by</w:t>
        </w:r>
        <w:r>
          <w:rPr>
            <w:rStyle w:val="Hyperlink"/>
          </w:rPr>
          <w:t xml:space="preserve"> </w:t>
        </w:r>
        <w:r>
          <w:rPr>
            <w:rStyle w:val="Hyperlink"/>
          </w:rPr>
          <w:t xml:space="preserve">@Austen</w:t>
        </w:r>
      </w:hyperlink>
    </w:p>
    <w:p>
      <w:pPr>
        <w:numPr>
          <w:ilvl w:val="0"/>
          <w:numId w:val="1005"/>
        </w:numPr>
        <w:pStyle w:val="Compact"/>
      </w:pPr>
      <w:hyperlink r:id="rId52">
        <w:r>
          <w:rPr>
            <w:rStyle w:val="Hyperlink"/>
          </w:rPr>
          <w:t xml:space="preserve">🌀 The Agentic Psychosis: Andrej Karpathy on AutoResearch and Code Claws</w:t>
        </w:r>
      </w:hyperlink>
    </w:p>
    <w:p>
      <w:pPr>
        <w:numPr>
          <w:ilvl w:val="0"/>
          <w:numId w:val="1005"/>
        </w:numPr>
        <w:pStyle w:val="Compact"/>
      </w:pPr>
      <w:hyperlink r:id="rId53">
        <w:r>
          <w:rPr>
            <w:rStyle w:val="Hyperlink"/>
          </w:rPr>
          <w:t xml:space="preserve">Andrej Karpathy on Code Agents, AutoResearch, and the Loopy Era of AI</w:t>
        </w:r>
      </w:hyperlink>
    </w:p>
    <w:p>
      <w:pPr>
        <w:numPr>
          <w:ilvl w:val="0"/>
          <w:numId w:val="1005"/>
        </w:numPr>
        <w:pStyle w:val="Compact"/>
      </w:pPr>
      <w:hyperlink r:id="rId54">
        <w:r>
          <w:rPr>
            <w:rStyle w:val="Hyperlink"/>
          </w:rPr>
          <w:t xml:space="preserve">#320 AI in Education: Governance, Ethics and Sustainability</w:t>
        </w:r>
      </w:hyperlink>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9" Target="media/rId29.jpg" /><Relationship Type="http://schemas.openxmlformats.org/officeDocument/2006/relationships/image" Id="rId21" Target="media/rId21.jpg" /><Relationship Type="http://schemas.openxmlformats.org/officeDocument/2006/relationships/hyperlink" Id="rId40" Target="https://aiedusimplified.substack.com/p/faculty-are-hungry-to-talk-to-each" TargetMode="External" /><Relationship Type="http://schemas.openxmlformats.org/officeDocument/2006/relationships/hyperlink" Id="rId43" Target="https://www.reddit.com/r/edtech/comments/1rv4mz7/" TargetMode="External" /><Relationship Type="http://schemas.openxmlformats.org/officeDocument/2006/relationships/hyperlink" Id="rId38" Target="https://www.reddit.com/r/edtech/comments/1ryfc49/" TargetMode="External" /><Relationship Type="http://schemas.openxmlformats.org/officeDocument/2006/relationships/hyperlink" Id="rId48" Target="https://www.reddit.com/r/edtech/comments/1rz8s5r/" TargetMode="External" /><Relationship Type="http://schemas.openxmlformats.org/officeDocument/2006/relationships/hyperlink" Id="rId44" Target="https://www.techlearning.com/technology/ai/chatdoc-teaching-with-the-ai-summarizing-tool" TargetMode="External" /><Relationship Type="http://schemas.openxmlformats.org/officeDocument/2006/relationships/hyperlink" Id="rId39" Target="https://www.techlearning.com/technology/ai/from-apprehension-to-empowerment-creating-a-four-part-ai-education-pd-series" TargetMode="External" /><Relationship Type="http://schemas.openxmlformats.org/officeDocument/2006/relationships/hyperlink" Id="rId42" Target="https://www.techlearning.com/technology/ai/take-teaching-to-the-next-level-live-from-the-kira-event" TargetMode="External" /><Relationship Type="http://schemas.openxmlformats.org/officeDocument/2006/relationships/hyperlink" Id="rId52" Target="https://www.youtube.com/watch?v=2qjnVpEb6Cw" TargetMode="External" /><Relationship Type="http://schemas.openxmlformats.org/officeDocument/2006/relationships/hyperlink" Id="rId46" Target="https://www.youtube.com/watch?v=NNOizeiwUyo" TargetMode="External" /><Relationship Type="http://schemas.openxmlformats.org/officeDocument/2006/relationships/hyperlink" Id="rId47" Target="https://www.youtube.com/watch?v=T66Na_S4rOM" TargetMode="External" /><Relationship Type="http://schemas.openxmlformats.org/officeDocument/2006/relationships/hyperlink" Id="rId41" Target="https://www.youtube.com/watch?v=TbT9IKJjqxI" TargetMode="External" /><Relationship Type="http://schemas.openxmlformats.org/officeDocument/2006/relationships/hyperlink" Id="rId54" Target="https://www.youtube.com/watch?v=gl7u5SwE_Ak" TargetMode="External" /><Relationship Type="http://schemas.openxmlformats.org/officeDocument/2006/relationships/hyperlink" Id="rId53" Target="https://www.youtube.com/watch?v=kwSVtQ7dziU" TargetMode="External" /><Relationship Type="http://schemas.openxmlformats.org/officeDocument/2006/relationships/hyperlink" Id="rId49" Target="https://x.com/Austen/status/2035063507394203891" TargetMode="External" /><Relationship Type="http://schemas.openxmlformats.org/officeDocument/2006/relationships/hyperlink" Id="rId50" Target="https://x.com/Austen/status/2035064654049763595" TargetMode="External" /><Relationship Type="http://schemas.openxmlformats.org/officeDocument/2006/relationships/hyperlink" Id="rId51" Target="https://x.com/Austen/status/2035064656457605187" TargetMode="External" /><Relationship Type="http://schemas.openxmlformats.org/officeDocument/2006/relationships/hyperlink" Id="rId37" Target="https://x.com/AustinA_Way/status/2032956287168675945" TargetMode="External" /><Relationship Type="http://schemas.openxmlformats.org/officeDocument/2006/relationships/hyperlink" Id="rId45" Target="https://x.com/NotebookLM/status/2034688795652816948" TargetMode="External" /><Relationship Type="http://schemas.openxmlformats.org/officeDocument/2006/relationships/hyperlink" Id="rId33" Target="https://x.com/emollick/status/2033773791688433708" TargetMode="External" /><Relationship Type="http://schemas.openxmlformats.org/officeDocument/2006/relationships/hyperlink" Id="rId35" Target="https://x.com/emollick/status/2033773793689182372" TargetMode="External" /><Relationship Type="http://schemas.openxmlformats.org/officeDocument/2006/relationships/hyperlink" Id="rId36" Target="https://x.com/emollick/status/2035726331854356485" TargetMode="External" /><Relationship Type="http://schemas.openxmlformats.org/officeDocument/2006/relationships/hyperlink" Id="rId34" Target="https://x.com/hamsabastani/status/2033876571430248856" TargetMode="External" /><Relationship Type="http://schemas.openxmlformats.org/officeDocument/2006/relationships/hyperlink" Id="rId32" Target="https://youtube.com/watch?v=2qjnVpEb6Cw&amp;t=535" TargetMode="External" /><Relationship Type="http://schemas.openxmlformats.org/officeDocument/2006/relationships/hyperlink" Id="rId24" Target="https://youtube.com/watch?v=TbT9IKJjqxI&amp;t=82" TargetMode="External" /></Relationships>
</file>

<file path=word/_rels/footnotes.xml.rels><?xml version="1.0" encoding="UTF-8"?><Relationships xmlns="http://schemas.openxmlformats.org/package/2006/relationships"><Relationship Type="http://schemas.openxmlformats.org/officeDocument/2006/relationships/hyperlink" Id="rId40" Target="https://aiedusimplified.substack.com/p/faculty-are-hungry-to-talk-to-each" TargetMode="External" /><Relationship Type="http://schemas.openxmlformats.org/officeDocument/2006/relationships/hyperlink" Id="rId43" Target="https://www.reddit.com/r/edtech/comments/1rv4mz7/" TargetMode="External" /><Relationship Type="http://schemas.openxmlformats.org/officeDocument/2006/relationships/hyperlink" Id="rId38" Target="https://www.reddit.com/r/edtech/comments/1ryfc49/" TargetMode="External" /><Relationship Type="http://schemas.openxmlformats.org/officeDocument/2006/relationships/hyperlink" Id="rId48" Target="https://www.reddit.com/r/edtech/comments/1rz8s5r/" TargetMode="External" /><Relationship Type="http://schemas.openxmlformats.org/officeDocument/2006/relationships/hyperlink" Id="rId44" Target="https://www.techlearning.com/technology/ai/chatdoc-teaching-with-the-ai-summarizing-tool" TargetMode="External" /><Relationship Type="http://schemas.openxmlformats.org/officeDocument/2006/relationships/hyperlink" Id="rId39" Target="https://www.techlearning.com/technology/ai/from-apprehension-to-empowerment-creating-a-four-part-ai-education-pd-series" TargetMode="External" /><Relationship Type="http://schemas.openxmlformats.org/officeDocument/2006/relationships/hyperlink" Id="rId42" Target="https://www.techlearning.com/technology/ai/take-teaching-to-the-next-level-live-from-the-kira-event" TargetMode="External" /><Relationship Type="http://schemas.openxmlformats.org/officeDocument/2006/relationships/hyperlink" Id="rId52" Target="https://www.youtube.com/watch?v=2qjnVpEb6Cw" TargetMode="External" /><Relationship Type="http://schemas.openxmlformats.org/officeDocument/2006/relationships/hyperlink" Id="rId46" Target="https://www.youtube.com/watch?v=NNOizeiwUyo" TargetMode="External" /><Relationship Type="http://schemas.openxmlformats.org/officeDocument/2006/relationships/hyperlink" Id="rId47" Target="https://www.youtube.com/watch?v=T66Na_S4rOM" TargetMode="External" /><Relationship Type="http://schemas.openxmlformats.org/officeDocument/2006/relationships/hyperlink" Id="rId41" Target="https://www.youtube.com/watch?v=TbT9IKJjqxI" TargetMode="External" /><Relationship Type="http://schemas.openxmlformats.org/officeDocument/2006/relationships/hyperlink" Id="rId54" Target="https://www.youtube.com/watch?v=gl7u5SwE_Ak" TargetMode="External" /><Relationship Type="http://schemas.openxmlformats.org/officeDocument/2006/relationships/hyperlink" Id="rId53" Target="https://www.youtube.com/watch?v=kwSVtQ7dziU" TargetMode="External" /><Relationship Type="http://schemas.openxmlformats.org/officeDocument/2006/relationships/hyperlink" Id="rId49" Target="https://x.com/Austen/status/2035063507394203891" TargetMode="External" /><Relationship Type="http://schemas.openxmlformats.org/officeDocument/2006/relationships/hyperlink" Id="rId50" Target="https://x.com/Austen/status/2035064654049763595" TargetMode="External" /><Relationship Type="http://schemas.openxmlformats.org/officeDocument/2006/relationships/hyperlink" Id="rId51" Target="https://x.com/Austen/status/2035064656457605187" TargetMode="External" /><Relationship Type="http://schemas.openxmlformats.org/officeDocument/2006/relationships/hyperlink" Id="rId37" Target="https://x.com/AustinA_Way/status/2032956287168675945" TargetMode="External" /><Relationship Type="http://schemas.openxmlformats.org/officeDocument/2006/relationships/hyperlink" Id="rId45" Target="https://x.com/NotebookLM/status/2034688795652816948" TargetMode="External" /><Relationship Type="http://schemas.openxmlformats.org/officeDocument/2006/relationships/hyperlink" Id="rId33" Target="https://x.com/emollick/status/2033773791688433708" TargetMode="External" /><Relationship Type="http://schemas.openxmlformats.org/officeDocument/2006/relationships/hyperlink" Id="rId35" Target="https://x.com/emollick/status/2033773793689182372" TargetMode="External" /><Relationship Type="http://schemas.openxmlformats.org/officeDocument/2006/relationships/hyperlink" Id="rId36" Target="https://x.com/emollick/status/2035726331854356485" TargetMode="External" /><Relationship Type="http://schemas.openxmlformats.org/officeDocument/2006/relationships/hyperlink" Id="rId34" Target="https://x.com/hamsabastani/status/2033876571430248856" TargetMode="External" /><Relationship Type="http://schemas.openxmlformats.org/officeDocument/2006/relationships/hyperlink" Id="rId32" Target="https://youtube.com/watch?v=2qjnVpEb6Cw&amp;t=535" TargetMode="External" /><Relationship Type="http://schemas.openxmlformats.org/officeDocument/2006/relationships/hyperlink" Id="rId24" Target="https://youtube.com/watch?v=TbT9IKJjqxI&amp;t=8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Structured AI Tutoring Shows Gains as Schools Build Capacity and Workflow Tools</dc:title>
  <dc:creator>AI in EdTech Weekly</dc:creator>
  <cp:keywords/>
  <dcterms:created xsi:type="dcterms:W3CDTF">2026-05-20T09:28:40Z</dcterms:created>
  <dcterms:modified xsi:type="dcterms:W3CDTF">2026-05-20T09:28:40Z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2026-03-23</vt:lpwstr>
  </property>
</Properties>
</file>