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Tariff ruling reshapes trade uncertainty as KC wheat rally extends and fertilizer costs climb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2026-02-21</w:t>
      </w:r>
    </w:p>
    <w:bookmarkStart w:id="148" w:name="Xeb2307242f4f3fc4df9054035964db5e41178a2"/>
    <w:p>
      <w:pPr>
        <w:pStyle w:val="Heading1"/>
      </w:pPr>
      <w:r>
        <w:t xml:space="preserve">Tariff ruling reshapes trade uncertainty as KC wheat rally extends and fertilizer costs climb</w:t>
      </w:r>
    </w:p>
    <w:p>
      <w:pPr>
        <w:pStyle w:val="FirstParagraph"/>
      </w:pPr>
      <w:r>
        <w:rPr>
          <w:iCs/>
          <w:i/>
        </w:rPr>
        <w:t xml:space="preserve">By Global Agricultural Developments • February 21, 2026</w:t>
      </w:r>
    </w:p>
    <w:p>
      <w:pPr>
        <w:pStyle w:val="BodyText"/>
      </w:pPr>
      <w:r>
        <w:t xml:space="preserve">Key price drivers this cycle include the U.S. Supreme Court’s tariff ruling, a sustained KC wheat rally amid Plains weather risks, and continued corn/soy uncertainty tied to acreage, farmer selling, and China demand signals. Also inside: proven yield and ROI innovations (soy co-inoculation, split-N economics, livestock ventilation), plus fertilizer/input market pressures and near-term policy timelines.</w:t>
      </w:r>
    </w:p>
    <w:bookmarkStart w:id="59" w:name="market-movers"/>
    <w:p>
      <w:pPr>
        <w:pStyle w:val="Heading2"/>
      </w:pPr>
      <w:r>
        <w:t xml:space="preserve">Market Movers</w:t>
      </w:r>
    </w:p>
    <w:bookmarkStart w:id="34" w:name="Xa48361cdc9d22de5769ffea5e2dfa49f6f4664c"/>
    <w:p>
      <w:pPr>
        <w:pStyle w:val="Heading3"/>
      </w:pPr>
      <w:r>
        <w:t xml:space="preserve">U.S. trade policy: Supreme Court tariff ruling adds uncertainty, with limited immediate grain/oilseed impact</w:t>
      </w:r>
    </w:p>
    <w:p>
      <w:pPr>
        <w:pStyle w:val="FirstParagraph"/>
      </w:pPr>
      <w:r>
        <w:t xml:space="preserve">The U.S. Supreme Court struck down President Trump’s use of the International Emergency Economic Powers Act (IEEPA) to impose broad import tariffs, in a 6–3 ruling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Farm Journal noted importers may halt payments and seek refunds, potentially putting</w:t>
      </w:r>
      <w:r>
        <w:t xml:space="preserve"> </w:t>
      </w:r>
      <w:r>
        <w:rPr>
          <w:bCs/>
          <w:b/>
        </w:rPr>
        <w:t xml:space="preserve">billions</w:t>
      </w:r>
      <w:r>
        <w:t xml:space="preserve"> </w:t>
      </w:r>
      <w:r>
        <w:t xml:space="preserve">of dollars in tariff revenue at risk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, while another analysis cited roughly</w:t>
      </w:r>
      <w:r>
        <w:t xml:space="preserve"> </w:t>
      </w:r>
      <w:r>
        <w:rPr>
          <w:bCs/>
          <w:b/>
        </w:rPr>
        <w:t xml:space="preserve">$175B</w:t>
      </w:r>
      <w:r>
        <w:t xml:space="preserve"> </w:t>
      </w:r>
      <w:r>
        <w:t xml:space="preserve">reportedly collected to date now being called into question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.</w:t>
      </w:r>
    </w:p>
    <w:p>
      <w:pPr>
        <w:pStyle w:val="BodyText"/>
      </w:pPr>
      <w:r>
        <w:t xml:space="preserve">Some market commentary framed the decision as likely to have</w:t>
      </w:r>
      <w:r>
        <w:t xml:space="preserve"> </w:t>
      </w:r>
      <w:r>
        <w:rPr>
          <w:bCs/>
          <w:b/>
        </w:rPr>
        <w:t xml:space="preserve">only limited impact on grain and oilseeds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, and a Brownfield market check described</w:t>
      </w:r>
      <w:r>
        <w:t xml:space="preserve"> </w:t>
      </w:r>
      <w:r>
        <w:rPr>
          <w:bCs/>
          <w:b/>
        </w:rPr>
        <w:t xml:space="preserve">very little response in the crop space</w:t>
      </w:r>
      <w:r>
        <w:t xml:space="preserve"> </w:t>
      </w:r>
      <w:r>
        <w:t xml:space="preserve">immediately after the ruling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odyText"/>
      </w:pPr>
      <w:hyperlink r:id="rId33">
        <w:r>
          <w:drawing>
            <wp:inline>
              <wp:extent cx="5334000" cy="4000500"/>
              <wp:effectExtent b="0" l="0" r="0" t="0"/>
              <wp:docPr descr="Supreme Court Strikes Down Trump Tariffs in 6-3 Landmark Ruling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NWFGGA9rt-w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Supreme Court Strikes Down Trump Tariffs in 6-3 Landmark Ruling (0:54)</w:t>
      </w:r>
    </w:p>
    <w:bookmarkEnd w:id="34"/>
    <w:bookmarkStart w:id="42" w:name="X6cfa8f82d58115f6f45e9029cc5657990968616"/>
    <w:p>
      <w:pPr>
        <w:pStyle w:val="Heading3"/>
      </w:pPr>
      <w:r>
        <w:t xml:space="preserve">Wheat: rally remains supported by short covering, weather risk, and geopolitics</w:t>
      </w:r>
    </w:p>
    <w:p>
      <w:pPr>
        <w:numPr>
          <w:ilvl w:val="0"/>
          <w:numId w:val="1001"/>
        </w:numPr>
        <w:pStyle w:val="Compact"/>
      </w:pPr>
      <w:r>
        <w:t xml:space="preserve">Wheat strength was tied to</w:t>
      </w:r>
      <w:r>
        <w:t xml:space="preserve"> </w:t>
      </w:r>
      <w:r>
        <w:rPr>
          <w:bCs/>
          <w:b/>
        </w:rPr>
        <w:t xml:space="preserve">short covering</w:t>
      </w:r>
      <w:r>
        <w:t xml:space="preserve"> </w:t>
      </w:r>
      <w:r>
        <w:t xml:space="preserve">and weather concerns in the U.S. Southern Plains (drought/high winds) plus Ukraine crop concerns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A multi-month dryness setup in HRW country (Southern Plains) was flagged as a risk, including concern that warm weather could trigger early emergence into dry conditions</w:t>
      </w:r>
      <w:r>
        <w:t xml:space="preserve"> </w:t>
      </w:r>
      <w:r>
        <w:rPr>
          <w:rStyle w:val="FootnoteReference"/>
        </w:rPr>
        <w:footnoteReference w:id="37"/>
      </w:r>
      <w:r>
        <w:rPr>
          <w:rStyle w:val="FootnoteReference"/>
        </w:rPr>
        <w:footnoteReference w:id="3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Kansas City wheat has been in its</w:t>
      </w:r>
      <w:r>
        <w:t xml:space="preserve"> </w:t>
      </w:r>
      <w:r>
        <w:rPr>
          <w:bCs/>
          <w:b/>
        </w:rPr>
        <w:t xml:space="preserve">most sustained rally in 5 years</w:t>
      </w:r>
      <w:r>
        <w:t xml:space="preserve">, running</w:t>
      </w:r>
      <w:r>
        <w:t xml:space="preserve"> </w:t>
      </w:r>
      <w:r>
        <w:rPr>
          <w:bCs/>
          <w:b/>
        </w:rPr>
        <w:t xml:space="preserve">130 days</w:t>
      </w:r>
      <w:r>
        <w:t xml:space="preserve"> </w:t>
      </w:r>
      <w:r>
        <w:t xml:space="preserve">from October lows (front month basis)</w:t>
      </w:r>
      <w:r>
        <w:t xml:space="preserve"> </w:t>
      </w:r>
      <w:r>
        <w:rPr>
          <w:rStyle w:val="FootnoteReference"/>
        </w:rPr>
        <w:footnoteReference w:id="39"/>
      </w:r>
      <w:r>
        <w:rPr>
          <w:rStyle w:val="FootnoteReference"/>
        </w:rPr>
        <w:footnoteReference w:id="41"/>
      </w:r>
      <w:r>
        <w:t xml:space="preserve">.</w:t>
      </w:r>
    </w:p>
    <w:bookmarkEnd w:id="42"/>
    <w:bookmarkStart w:id="52" w:name="Xdd79ddb14d58a164e349b80cf3d894f86416288"/>
    <w:p>
      <w:pPr>
        <w:pStyle w:val="Heading3"/>
      </w:pPr>
      <w:r>
        <w:t xml:space="preserve">Corn &amp; soybeans: acreage shifts, cash selling pressure, and China/trade headlines remain central</w:t>
      </w:r>
    </w:p>
    <w:p>
      <w:pPr>
        <w:numPr>
          <w:ilvl w:val="0"/>
          <w:numId w:val="1002"/>
        </w:numPr>
        <w:pStyle w:val="Compact"/>
      </w:pPr>
      <w:r>
        <w:t xml:space="preserve">Corn market commentary cited aggressive farmer cash selling depressing prices and excellent Brazil second-crop (safrinha) weather across ~</w:t>
      </w:r>
      <w:r>
        <w:rPr>
          <w:bCs/>
          <w:b/>
        </w:rPr>
        <w:t xml:space="preserve">75%</w:t>
      </w:r>
      <w:r>
        <w:t xml:space="preserve"> </w:t>
      </w:r>
      <w:r>
        <w:t xml:space="preserve">of production areas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A separate view described corn staying range-bound until farmer selling eases and markets get clarity on whether expanded trade arrangements include corn, with additional focus on end-of-March reports (planting intentions and quarterly stocks)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USDA Outlook Forum projections referenced broadly across coverage included</w:t>
      </w:r>
      <w:r>
        <w:t xml:space="preserve"> </w:t>
      </w:r>
      <w:r>
        <w:rPr>
          <w:bCs/>
          <w:b/>
        </w:rPr>
        <w:t xml:space="preserve">94M corn acres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85M soybean acres</w:t>
      </w:r>
      <w:r>
        <w:t xml:space="preserve">, with corn at</w:t>
      </w:r>
      <w:r>
        <w:t xml:space="preserve"> </w:t>
      </w:r>
      <w:r>
        <w:rPr>
          <w:bCs/>
          <w:b/>
        </w:rPr>
        <w:t xml:space="preserve">183 bu/acre</w:t>
      </w:r>
      <w:r>
        <w:t xml:space="preserve"> </w:t>
      </w:r>
      <w:r>
        <w:t xml:space="preserve">and average cash price forecasts around</w:t>
      </w:r>
      <w:r>
        <w:t xml:space="preserve"> </w:t>
      </w:r>
      <w:r>
        <w:rPr>
          <w:bCs/>
          <w:b/>
        </w:rPr>
        <w:t xml:space="preserve">$4.20</w:t>
      </w:r>
      <w:r>
        <w:t xml:space="preserve"> </w:t>
      </w:r>
      <w:r>
        <w:t xml:space="preserve">for corn and</w:t>
      </w:r>
      <w:r>
        <w:t xml:space="preserve"> </w:t>
      </w:r>
      <w:r>
        <w:rPr>
          <w:bCs/>
          <w:b/>
        </w:rPr>
        <w:t xml:space="preserve">$10.30</w:t>
      </w:r>
      <w:r>
        <w:t xml:space="preserve"> </w:t>
      </w:r>
      <w:r>
        <w:t xml:space="preserve">for soybeans</w:t>
      </w:r>
      <w:r>
        <w:t xml:space="preserve"> </w:t>
      </w:r>
      <w:r>
        <w:rPr>
          <w:rStyle w:val="FootnoteReference"/>
        </w:rPr>
        <w:footnoteReference w:id="46"/>
      </w:r>
      <w:r>
        <w:t xml:space="preserve">.</w:t>
      </w:r>
    </w:p>
    <w:p>
      <w:pPr>
        <w:pStyle w:val="FirstParagraph"/>
      </w:pPr>
      <w:r>
        <w:t xml:space="preserve">China-related demand expectations remained a key swing factor:</w:t>
      </w:r>
    </w:p>
    <w:p>
      <w:pPr>
        <w:numPr>
          <w:ilvl w:val="0"/>
          <w:numId w:val="1003"/>
        </w:numPr>
        <w:pStyle w:val="Compact"/>
      </w:pPr>
      <w:r>
        <w:t xml:space="preserve">One market guest expected China to resume</w:t>
      </w:r>
      <w:r>
        <w:t xml:space="preserve"> </w:t>
      </w:r>
      <w:r>
        <w:rPr>
          <w:bCs/>
          <w:b/>
        </w:rPr>
        <w:t xml:space="preserve">goodwill soybean purchases</w:t>
      </w:r>
      <w:r>
        <w:t xml:space="preserve"> </w:t>
      </w:r>
      <w:r>
        <w:t xml:space="preserve">after its New Year holiday ahead of an April meeting</w:t>
      </w:r>
      <w:r>
        <w:t xml:space="preserve"> </w:t>
      </w:r>
      <w:r>
        <w:rPr>
          <w:rStyle w:val="FootnoteReference"/>
        </w:rPr>
        <w:footnoteReference w:id="48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Others suggested China may need higher-quality U.S. corn and could buy corn accordingly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A Topsoil analysis noted China met a trade commitment after purchasing</w:t>
      </w:r>
      <w:r>
        <w:t xml:space="preserve"> </w:t>
      </w:r>
      <w:r>
        <w:rPr>
          <w:bCs/>
          <w:b/>
        </w:rPr>
        <w:t xml:space="preserve">12M tons</w:t>
      </w:r>
      <w:r>
        <w:t xml:space="preserve"> </w:t>
      </w:r>
      <w:r>
        <w:t xml:space="preserve">of U.S. soybeans since November, then returned to South American soybeans that were about</w:t>
      </w:r>
      <w:r>
        <w:t xml:space="preserve"> </w:t>
      </w:r>
      <w:r>
        <w:rPr>
          <w:bCs/>
          <w:b/>
        </w:rPr>
        <w:t xml:space="preserve">$0.50/bu (~5%) cheaper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</w:t>
      </w:r>
    </w:p>
    <w:bookmarkEnd w:id="52"/>
    <w:bookmarkStart w:id="58" w:name="X3075475013b233dd5bc3b11c84490c07cb3d2f1"/>
    <w:p>
      <w:pPr>
        <w:pStyle w:val="Heading3"/>
      </w:pPr>
      <w:r>
        <w:t xml:space="preserve">Dairy &amp; livestock: diverging signals on demand vs. supply</w:t>
      </w:r>
    </w:p>
    <w:p>
      <w:pPr>
        <w:numPr>
          <w:ilvl w:val="0"/>
          <w:numId w:val="1004"/>
        </w:numPr>
      </w:pPr>
      <w:r>
        <w:t xml:space="preserve">Dairy: One market segment said Class 4 (butter/milk powder) rallied from</w:t>
      </w:r>
      <w:r>
        <w:t xml:space="preserve"> </w:t>
      </w:r>
      <w:r>
        <w:rPr>
          <w:bCs/>
          <w:b/>
        </w:rPr>
        <w:t xml:space="preserve">$14/cwt to $19/cwt</w:t>
      </w:r>
      <w:r>
        <w:t xml:space="preserve"> </w:t>
      </w:r>
      <w:r>
        <w:t xml:space="preserve">over the last month, citing renewed U.S. government food box purchases and China buying milk powder in GDT auctions (including a record auction price increase)</w:t>
      </w:r>
      <w:r>
        <w:t xml:space="preserve"> </w:t>
      </w:r>
      <w:r>
        <w:rPr>
          <w:rStyle w:val="FootnoteReference"/>
        </w:rPr>
        <w:footnoteReference w:id="53"/>
      </w:r>
      <w:r>
        <w:t xml:space="preserve">.</w:t>
      </w:r>
    </w:p>
    <w:p>
      <w:pPr>
        <w:numPr>
          <w:ilvl w:val="0"/>
          <w:numId w:val="1004"/>
        </w:numPr>
      </w:pPr>
      <w:r>
        <w:t xml:space="preserve">Another Farm Journal segment reported USDA would buy up to</w:t>
      </w:r>
      <w:r>
        <w:t xml:space="preserve"> </w:t>
      </w:r>
      <w:r>
        <w:rPr>
          <w:bCs/>
          <w:b/>
        </w:rPr>
        <w:t xml:space="preserve">$263M</w:t>
      </w:r>
      <w:r>
        <w:t xml:space="preserve"> </w:t>
      </w:r>
      <w:r>
        <w:t xml:space="preserve">of ag products for food banks and nutrition programs, including</w:t>
      </w:r>
      <w:r>
        <w:t xml:space="preserve"> </w:t>
      </w:r>
      <w:r>
        <w:rPr>
          <w:bCs/>
          <w:b/>
        </w:rPr>
        <w:t xml:space="preserve">$148M</w:t>
      </w:r>
      <w:r>
        <w:t xml:space="preserve"> </w:t>
      </w:r>
      <w:r>
        <w:t xml:space="preserve">in dairy (butter/cheese/milk), with the National Milk Producers Federation suggesting it</w:t>
      </w:r>
      <w:r>
        <w:t xml:space="preserve"> </w:t>
      </w:r>
      <w:r>
        <w:t xml:space="preserve">“</w:t>
      </w:r>
      <w:r>
        <w:t xml:space="preserve">certainly helps</w:t>
      </w:r>
      <w:r>
        <w:t xml:space="preserve">”</w:t>
      </w:r>
      <w:r>
        <w:t xml:space="preserve"> </w:t>
      </w:r>
      <w:r>
        <w:t xml:space="preserve">but is not a major market mover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p>
      <w:pPr>
        <w:numPr>
          <w:ilvl w:val="0"/>
          <w:numId w:val="1004"/>
        </w:numPr>
      </w:pPr>
      <w:r>
        <w:t xml:space="preserve">Cattle: A Markets Now guest highlighted a widening gap where</w:t>
      </w:r>
      <w:r>
        <w:t xml:space="preserve"> </w:t>
      </w:r>
      <w:r>
        <w:rPr>
          <w:bCs/>
          <w:b/>
        </w:rPr>
        <w:t xml:space="preserve">beef cutout</w:t>
      </w:r>
      <w:r>
        <w:t xml:space="preserve"> </w:t>
      </w:r>
      <w:r>
        <w:t xml:space="preserve">is not following the high</w:t>
      </w:r>
      <w:r>
        <w:t xml:space="preserve"> </w:t>
      </w:r>
      <w:r>
        <w:rPr>
          <w:bCs/>
          <w:b/>
        </w:rPr>
        <w:t xml:space="preserve">cash cattle</w:t>
      </w:r>
      <w:r>
        <w:t xml:space="preserve"> </w:t>
      </w:r>
      <w:r>
        <w:t xml:space="preserve">price, interpreting it as demand backing off and expecting</w:t>
      </w:r>
      <w:r>
        <w:t xml:space="preserve"> </w:t>
      </w:r>
      <w:r>
        <w:t xml:space="preserve">“</w:t>
      </w:r>
      <w:r>
        <w:t xml:space="preserve">something’s going to have to give,</w:t>
      </w:r>
      <w:r>
        <w:t xml:space="preserve">”</w:t>
      </w:r>
      <w:r>
        <w:t xml:space="preserve"> </w:t>
      </w:r>
      <w:r>
        <w:t xml:space="preserve">potentially a</w:t>
      </w:r>
      <w:r>
        <w:t xml:space="preserve"> </w:t>
      </w:r>
      <w:r>
        <w:rPr>
          <w:bCs/>
          <w:b/>
        </w:rPr>
        <w:t xml:space="preserve">weaker cattle price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.</w:t>
      </w:r>
    </w:p>
    <w:p>
      <w:pPr>
        <w:numPr>
          <w:ilvl w:val="0"/>
          <w:numId w:val="1004"/>
        </w:numPr>
      </w:pPr>
      <w:r>
        <w:t xml:space="preserve">Weekly livestock data showed January 2026 beef production down</w:t>
      </w:r>
      <w:r>
        <w:t xml:space="preserve"> </w:t>
      </w:r>
      <w:r>
        <w:rPr>
          <w:bCs/>
          <w:b/>
        </w:rPr>
        <w:t xml:space="preserve">11%</w:t>
      </w:r>
      <w:r>
        <w:t xml:space="preserve"> </w:t>
      </w:r>
      <w:r>
        <w:t xml:space="preserve">vs. last year, with dressed weights up</w:t>
      </w:r>
      <w:r>
        <w:t xml:space="preserve"> </w:t>
      </w:r>
      <w:r>
        <w:rPr>
          <w:bCs/>
          <w:b/>
        </w:rPr>
        <w:t xml:space="preserve">19 lbs YoY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82" w:name="innovation-spotlight"/>
    <w:p>
      <w:pPr>
        <w:pStyle w:val="Heading2"/>
      </w:pPr>
      <w:r>
        <w:t xml:space="preserve">Innovation Spotlight</w:t>
      </w:r>
    </w:p>
    <w:bookmarkStart w:id="66" w:name="Xef513aa43c36ee0e16cf1c0bc4cd11e5f6990d7"/>
    <w:p>
      <w:pPr>
        <w:pStyle w:val="Heading3"/>
      </w:pPr>
      <w:r>
        <w:t xml:space="preserve">Brazil (Paraná): co-inoculation bioinputs deliver +8.33% soybean productivity and eliminate N fertilizer need</w:t>
      </w:r>
    </w:p>
    <w:p>
      <w:pPr>
        <w:pStyle w:val="FirstParagraph"/>
      </w:pPr>
      <w:r>
        <w:t xml:space="preserve">A 10-year Embrapa Soja and IDR Paraná partnership reported that co-inoculation (Bradyrhizobium +</w:t>
      </w:r>
      <w:r>
        <w:t xml:space="preserve"> </w:t>
      </w:r>
      <w:r>
        <w:rPr>
          <w:iCs/>
          <w:i/>
        </w:rPr>
        <w:t xml:space="preserve">Azospirillum brasilense</w:t>
      </w:r>
      <w:r>
        <w:t xml:space="preserve">) generated an average</w:t>
      </w:r>
      <w:r>
        <w:t xml:space="preserve"> </w:t>
      </w:r>
      <w:r>
        <w:rPr>
          <w:bCs/>
          <w:b/>
        </w:rPr>
        <w:t xml:space="preserve">8.33%</w:t>
      </w:r>
      <w:r>
        <w:t xml:space="preserve"> </w:t>
      </w:r>
      <w:r>
        <w:t xml:space="preserve">soybean productivity gain in Paraná’s 2024/25 crop (and about</w:t>
      </w:r>
      <w:r>
        <w:t xml:space="preserve"> </w:t>
      </w:r>
      <w:r>
        <w:rPr>
          <w:bCs/>
          <w:b/>
        </w:rPr>
        <w:t xml:space="preserve">~8%</w:t>
      </w:r>
      <w:r>
        <w:t xml:space="preserve"> </w:t>
      </w:r>
      <w:r>
        <w:t xml:space="preserve">across recent harvests)</w:t>
      </w:r>
      <w:r>
        <w:t xml:space="preserve"> </w:t>
      </w:r>
      <w:r>
        <w:rPr>
          <w:rStyle w:val="FootnoteReference"/>
        </w:rPr>
        <w:footnoteReference w:id="60"/>
      </w:r>
      <w:r>
        <w:rPr>
          <w:rStyle w:val="FootnoteReference"/>
        </w:rPr>
        <w:footnoteReference w:id="62"/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BodyText"/>
      </w:pPr>
      <w:r>
        <w:t xml:space="preserve">Key operational takeaways:</w:t>
      </w:r>
    </w:p>
    <w:p>
      <w:pPr>
        <w:numPr>
          <w:ilvl w:val="0"/>
          <w:numId w:val="1005"/>
        </w:numPr>
        <w:pStyle w:val="Compact"/>
      </w:pPr>
      <w:r>
        <w:t xml:space="preserve">The practice can</w:t>
      </w:r>
      <w:r>
        <w:t xml:space="preserve"> </w:t>
      </w:r>
      <w:r>
        <w:rPr>
          <w:bCs/>
          <w:b/>
        </w:rPr>
        <w:t xml:space="preserve">dispense with nitrogen fertilization</w:t>
      </w:r>
      <w:r>
        <w:t xml:space="preserve"> </w:t>
      </w:r>
      <w:r>
        <w:t xml:space="preserve">for soybeans by supplying nitrogen through biological fixation (from atmospheric N)</w:t>
      </w:r>
      <w:r>
        <w:t xml:space="preserve"> </w:t>
      </w:r>
      <w:r>
        <w:rPr>
          <w:rStyle w:val="FootnoteReference"/>
        </w:rPr>
        <w:footnoteReference w:id="64"/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The program emphasized annual application even in established fields and checking nodulation effectiveness around</w:t>
      </w:r>
      <w:r>
        <w:t xml:space="preserve"> </w:t>
      </w:r>
      <w:r>
        <w:rPr>
          <w:bCs/>
          <w:b/>
        </w:rPr>
        <w:t xml:space="preserve">20–30 days after emergence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</w:t>
      </w:r>
    </w:p>
    <w:bookmarkEnd w:id="66"/>
    <w:bookmarkStart w:id="70" w:name="Xe761aebf847e4cc1cc789ea8852571e389f0fb1"/>
    <w:p>
      <w:pPr>
        <w:pStyle w:val="Heading3"/>
      </w:pPr>
      <w:r>
        <w:t xml:space="preserve">U.S. corn rootworm: Syngenta’s DuraStack targets 2027 with triple Bt protein stack</w:t>
      </w:r>
    </w:p>
    <w:p>
      <w:pPr>
        <w:pStyle w:val="FirstParagraph"/>
      </w:pPr>
      <w:r>
        <w:t xml:space="preserve">Farm Journal highlighted Syngenta’s DuraStack trait technology (available for the</w:t>
      </w:r>
      <w:r>
        <w:t xml:space="preserve"> </w:t>
      </w:r>
      <w:r>
        <w:rPr>
          <w:bCs/>
          <w:b/>
        </w:rPr>
        <w:t xml:space="preserve">2027</w:t>
      </w:r>
      <w:r>
        <w:t xml:space="preserve"> </w:t>
      </w:r>
      <w:r>
        <w:t xml:space="preserve">season), positioned as three modes of action for corn rootworm control, described as the industry’s first triple Bt protein stack for rootworm control</w:t>
      </w:r>
      <w:r>
        <w:t xml:space="preserve"> </w:t>
      </w:r>
      <w:r>
        <w:rPr>
          <w:rStyle w:val="FootnoteReference"/>
        </w:rPr>
        <w:footnoteReference w:id="67"/>
      </w:r>
      <w:r>
        <w:rPr>
          <w:rStyle w:val="FootnoteReference"/>
        </w:rPr>
        <w:footnoteReference w:id="68"/>
      </w:r>
      <w:r>
        <w:t xml:space="preserve">. Corn rootworm losses were cited as up to</w:t>
      </w:r>
      <w:r>
        <w:t xml:space="preserve"> </w:t>
      </w:r>
      <w:r>
        <w:rPr>
          <w:bCs/>
          <w:b/>
        </w:rPr>
        <w:t xml:space="preserve">$1B/year</w:t>
      </w:r>
      <w:r>
        <w:t xml:space="preserve"> </w:t>
      </w:r>
      <w:r>
        <w:t xml:space="preserve">for farmers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bookmarkEnd w:id="70"/>
    <w:bookmarkStart w:id="78" w:name="Xbf26fe5bfd8c3d49c9ab1e91cd98aaf06c976d4"/>
    <w:p>
      <w:pPr>
        <w:pStyle w:val="Heading3"/>
      </w:pPr>
      <w:r>
        <w:t xml:space="preserve">Precision livestock environments: ventilation and barn modernization</w:t>
      </w:r>
    </w:p>
    <w:p>
      <w:pPr>
        <w:numPr>
          <w:ilvl w:val="0"/>
          <w:numId w:val="1006"/>
        </w:numPr>
        <w:pStyle w:val="Compact"/>
      </w:pPr>
      <w:r>
        <w:t xml:space="preserve">Calf health (tube ventilation): A positive pressure tube ventilation system was described as providing</w:t>
      </w:r>
      <w:r>
        <w:t xml:space="preserve"> </w:t>
      </w:r>
      <w:r>
        <w:rPr>
          <w:bCs/>
          <w:b/>
        </w:rPr>
        <w:t xml:space="preserve">≥8 air exchanges/hour</w:t>
      </w:r>
      <w:r>
        <w:t xml:space="preserve"> </w:t>
      </w:r>
      <w:r>
        <w:t xml:space="preserve">and reducing stagnant/recirculating air at calf level; the farm reported fewer calf deaths (none while the system was running)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3"/>
      </w:r>
      <w:r>
        <w:t xml:space="preserve">. Target air speeds cited were</w:t>
      </w:r>
      <w:r>
        <w:t xml:space="preserve"> </w:t>
      </w:r>
      <w:r>
        <w:rPr>
          <w:bCs/>
          <w:b/>
        </w:rPr>
        <w:t xml:space="preserve">0.3 m/s</w:t>
      </w:r>
      <w:r>
        <w:t xml:space="preserve"> </w:t>
      </w:r>
      <w:r>
        <w:t xml:space="preserve">for pre-weaned calves and</w:t>
      </w:r>
      <w:r>
        <w:t xml:space="preserve"> </w:t>
      </w:r>
      <w:r>
        <w:rPr>
          <w:bCs/>
          <w:b/>
        </w:rPr>
        <w:t xml:space="preserve">0.3–0.5 m/s</w:t>
      </w:r>
      <w:r>
        <w:t xml:space="preserve"> </w:t>
      </w:r>
      <w:r>
        <w:t xml:space="preserve">for weaned calves</w:t>
      </w:r>
      <w:r>
        <w:t xml:space="preserve"> </w:t>
      </w:r>
      <w:r>
        <w:rPr>
          <w:rStyle w:val="FootnoteReference"/>
        </w:rPr>
        <w:footnoteReference w:id="74"/>
      </w:r>
      <w:r>
        <w:rPr>
          <w:rStyle w:val="FootnoteReference"/>
        </w:rPr>
        <w:footnoteReference w:id="75"/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Swine housing: A segment on sow systems described more operations shifting to</w:t>
      </w:r>
      <w:r>
        <w:t xml:space="preserve"> </w:t>
      </w:r>
      <w:r>
        <w:rPr>
          <w:bCs/>
          <w:b/>
        </w:rPr>
        <w:t xml:space="preserve">minimal gestation stalls</w:t>
      </w:r>
      <w:r>
        <w:t xml:space="preserve">, in part because raw-material inflation (steel/concrete) has been severe and facilities need to stay viable over</w:t>
      </w:r>
      <w:r>
        <w:t xml:space="preserve"> </w:t>
      </w:r>
      <w:r>
        <w:rPr>
          <w:bCs/>
          <w:b/>
        </w:rPr>
        <w:t xml:space="preserve">15–20+ years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Precision feeding technology (Giga/Gestal) was discussed as a modernization lever for sow productivity and welfare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.</w:t>
      </w:r>
    </w:p>
    <w:bookmarkEnd w:id="78"/>
    <w:bookmarkStart w:id="81" w:name="X031d8e22cdf3d62c3045b7fb03ac12f847c2867"/>
    <w:p>
      <w:pPr>
        <w:pStyle w:val="Heading3"/>
      </w:pPr>
      <w:r>
        <w:t xml:space="preserve">Equipment &amp; repairability: EPA clears off-road</w:t>
      </w:r>
      <w:r>
        <w:t xml:space="preserve"> </w:t>
      </w:r>
      <w:r>
        <w:t xml:space="preserve">“</w:t>
      </w:r>
      <w:r>
        <w:t xml:space="preserve">derate</w:t>
      </w:r>
      <w:r>
        <w:t xml:space="preserve">”</w:t>
      </w:r>
      <w:r>
        <w:t xml:space="preserve"> </w:t>
      </w:r>
      <w:r>
        <w:t xml:space="preserve">self-fixes</w:t>
      </w:r>
    </w:p>
    <w:p>
      <w:pPr>
        <w:pStyle w:val="FirstParagraph"/>
      </w:pPr>
      <w:r>
        <w:t xml:space="preserve">Farm Journal reported the EPA clarified farmers can fix their own off-road equipment derate issues (without needing an OEM or authorized shop), after Deere sought regulatory clarity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106" w:name="regional-developments"/>
    <w:p>
      <w:pPr>
        <w:pStyle w:val="Heading2"/>
      </w:pPr>
      <w:r>
        <w:t xml:space="preserve">Regional Developments</w:t>
      </w:r>
    </w:p>
    <w:bookmarkStart w:id="90" w:name="X3768b2a0b9dfe725bcd48b5ffacfdf91bb38b87"/>
    <w:p>
      <w:pPr>
        <w:pStyle w:val="Heading3"/>
      </w:pPr>
      <w:r>
        <w:t xml:space="preserve">U.S. Southern Plains: wind-driven wildfire damage and persistent dryness</w:t>
      </w:r>
    </w:p>
    <w:p>
      <w:pPr>
        <w:pStyle w:val="FirstParagraph"/>
      </w:pPr>
      <w:r>
        <w:t xml:space="preserve">Fast-moving wildfires swept across Oklahoma, Texas, Kansas, Colorado, and New Mexico—damaging</w:t>
      </w:r>
      <w:r>
        <w:t xml:space="preserve"> </w:t>
      </w:r>
      <w:r>
        <w:rPr>
          <w:bCs/>
          <w:b/>
        </w:rPr>
        <w:t xml:space="preserve">tens of thousands of acres</w:t>
      </w:r>
      <w:r>
        <w:t xml:space="preserve"> </w:t>
      </w:r>
      <w:r>
        <w:t xml:space="preserve">of pasture and farmland and putting livestock in harm’s way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 In Oklahoma, a producer fighting a fire near Hooker/Tyrone reported battling wind gusts around</w:t>
      </w:r>
      <w:r>
        <w:t xml:space="preserve"> </w:t>
      </w:r>
      <w:r>
        <w:rPr>
          <w:bCs/>
          <w:b/>
        </w:rPr>
        <w:t xml:space="preserve">60 mph</w:t>
      </w:r>
      <w:r>
        <w:t xml:space="preserve"> </w:t>
      </w:r>
      <w:r>
        <w:t xml:space="preserve">while using discs, firefighting equipment, volunteer departments, and back burning to contain spread and protect homesteads and cattle</w:t>
      </w:r>
      <w:r>
        <w:t xml:space="preserve"> </w:t>
      </w:r>
      <w:r>
        <w:rPr>
          <w:rStyle w:val="FootnoteReference"/>
        </w:rPr>
        <w:footnoteReference w:id="85"/>
      </w:r>
      <w:r>
        <w:rPr>
          <w:rStyle w:val="FootnoteReference"/>
        </w:rPr>
        <w:footnoteReference w:id="87"/>
      </w:r>
      <w:r>
        <w:t xml:space="preserve">.</w:t>
      </w:r>
    </w:p>
    <w:p>
      <w:pPr>
        <w:pStyle w:val="BodyText"/>
      </w:pPr>
      <w:r>
        <w:t xml:space="preserve">Conditions behind the outbreak included a traditionally windy period from February into early-to-mid April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 </w:t>
      </w:r>
      <w:r>
        <w:t xml:space="preserve">and highly depressed recent precipitation—some areas ranging</w:t>
      </w:r>
      <w:r>
        <w:t xml:space="preserve"> </w:t>
      </w:r>
      <w:r>
        <w:rPr>
          <w:bCs/>
          <w:b/>
        </w:rPr>
        <w:t xml:space="preserve">5–20% of average moisture</w:t>
      </w:r>
      <w:r>
        <w:t xml:space="preserve"> </w:t>
      </w:r>
      <w:r>
        <w:t xml:space="preserve">over the past 30 days</w:t>
      </w:r>
      <w:r>
        <w:t xml:space="preserve"> </w:t>
      </w:r>
      <w:r>
        <w:rPr>
          <w:rStyle w:val="FootnoteReference"/>
        </w:rPr>
        <w:footnoteReference w:id="89"/>
      </w:r>
      <w:r>
        <w:t xml:space="preserve">.</w:t>
      </w:r>
    </w:p>
    <w:bookmarkEnd w:id="90"/>
    <w:bookmarkStart w:id="94" w:name="Xe42bc485e715cdb4f3573a1a7e046b411d1a06b"/>
    <w:p>
      <w:pPr>
        <w:pStyle w:val="Heading3"/>
      </w:pPr>
      <w:r>
        <w:t xml:space="preserve">U.S. West (Colorado): water scarcity and planting risk</w:t>
      </w:r>
    </w:p>
    <w:p>
      <w:pPr>
        <w:pStyle w:val="FirstParagraph"/>
      </w:pPr>
      <w:r>
        <w:t xml:space="preserve">A Colorado producer reported no measurable moisture since early October and cited the</w:t>
      </w:r>
      <w:r>
        <w:t xml:space="preserve"> </w:t>
      </w:r>
      <w:r>
        <w:rPr>
          <w:bCs/>
          <w:b/>
        </w:rPr>
        <w:t xml:space="preserve">least snowpack in recorded Colorado history</w:t>
      </w:r>
      <w:r>
        <w:t xml:space="preserve">, with ditch water allocation at</w:t>
      </w:r>
      <w:r>
        <w:t xml:space="preserve"> </w:t>
      </w:r>
      <w:r>
        <w:rPr>
          <w:bCs/>
          <w:b/>
        </w:rPr>
        <w:t xml:space="preserve">0%</w:t>
      </w:r>
      <w:r>
        <w:t xml:space="preserve">; they said they may preventive-plant</w:t>
      </w:r>
      <w:r>
        <w:t xml:space="preserve"> </w:t>
      </w:r>
      <w:r>
        <w:rPr>
          <w:bCs/>
          <w:b/>
        </w:rPr>
        <w:t xml:space="preserve">three-quarters</w:t>
      </w:r>
      <w:r>
        <w:t xml:space="preserve"> </w:t>
      </w:r>
      <w:r>
        <w:t xml:space="preserve">of the operation if water scarcity persists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3"/>
      </w:r>
      <w:r>
        <w:t xml:space="preserve">.</w:t>
      </w:r>
    </w:p>
    <w:bookmarkEnd w:id="94"/>
    <w:bookmarkStart w:id="98" w:name="Xce079a3978d946a09eb14f619ff972a12904dd8"/>
    <w:p>
      <w:pPr>
        <w:pStyle w:val="Heading3"/>
      </w:pPr>
      <w:r>
        <w:t xml:space="preserve">Brazil (Mato Grosso): soybean harvest disruption from excess rain</w:t>
      </w:r>
    </w:p>
    <w:p>
      <w:pPr>
        <w:pStyle w:val="FirstParagraph"/>
      </w:pPr>
      <w:r>
        <w:t xml:space="preserve">In Paranatinga (central Mato Grosso), heavy rain was reported to delay harvest and increase quality loss, including pod rot and germination; one producer estimated losses around</w:t>
      </w:r>
      <w:r>
        <w:t xml:space="preserve"> </w:t>
      </w:r>
      <w:r>
        <w:rPr>
          <w:bCs/>
          <w:b/>
        </w:rPr>
        <w:t xml:space="preserve">50%</w:t>
      </w:r>
      <w:r>
        <w:t xml:space="preserve"> </w:t>
      </w:r>
      <w:r>
        <w:t xml:space="preserve">already and warned fields could be</w:t>
      </w:r>
      <w:r>
        <w:t xml:space="preserve"> </w:t>
      </w:r>
      <w:r>
        <w:rPr>
          <w:bCs/>
          <w:b/>
        </w:rPr>
        <w:t xml:space="preserve">100% lost</w:t>
      </w:r>
      <w:r>
        <w:t xml:space="preserve"> </w:t>
      </w:r>
      <w:r>
        <w:t xml:space="preserve">if harvest could not resume in</w:t>
      </w:r>
      <w:r>
        <w:t xml:space="preserve"> </w:t>
      </w:r>
      <w:r>
        <w:rPr>
          <w:bCs/>
          <w:b/>
        </w:rPr>
        <w:t xml:space="preserve">2–3 days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 Weather guidance in the same coverage suggested only a brief firm-weather window (around Feb 25 to early March) before additional heavy rainfall</w:t>
      </w:r>
      <w:r>
        <w:t xml:space="preserve"> </w:t>
      </w:r>
      <w:r>
        <w:rPr>
          <w:rStyle w:val="FootnoteReference"/>
        </w:rPr>
        <w:footnoteReference w:id="97"/>
      </w:r>
      <w:r>
        <w:t xml:space="preserve">.</w:t>
      </w:r>
    </w:p>
    <w:bookmarkEnd w:id="98"/>
    <w:bookmarkStart w:id="105" w:name="Xc0f451095caedd576da860a673c76578eca65c7"/>
    <w:p>
      <w:pPr>
        <w:pStyle w:val="Heading3"/>
      </w:pPr>
      <w:r>
        <w:t xml:space="preserve">Brazil: trade/market development with India and export pace</w:t>
      </w:r>
    </w:p>
    <w:p>
      <w:pPr>
        <w:pStyle w:val="FirstParagraph"/>
      </w:pPr>
      <w:r>
        <w:t xml:space="preserve">Brazil opened a new ApexBrasil office in New Delhi to expand trade in a market of</w:t>
      </w:r>
      <w:r>
        <w:t xml:space="preserve"> </w:t>
      </w:r>
      <w:r>
        <w:rPr>
          <w:bCs/>
          <w:b/>
        </w:rPr>
        <w:t xml:space="preserve">1.4B</w:t>
      </w:r>
      <w:r>
        <w:t xml:space="preserve"> </w:t>
      </w:r>
      <w:r>
        <w:t xml:space="preserve">people; speakers highlighted India’s economic expansion and noted</w:t>
      </w:r>
      <w:r>
        <w:t xml:space="preserve"> </w:t>
      </w:r>
      <w:r>
        <w:rPr>
          <w:bCs/>
          <w:b/>
        </w:rPr>
        <w:t xml:space="preserve">250M</w:t>
      </w:r>
      <w:r>
        <w:t xml:space="preserve"> </w:t>
      </w:r>
      <w:r>
        <w:t xml:space="preserve">people lifted from poverty over the last nine years</w:t>
      </w:r>
      <w:r>
        <w:t xml:space="preserve"> </w:t>
      </w:r>
      <w:r>
        <w:rPr>
          <w:rStyle w:val="FootnoteReference"/>
        </w:rPr>
        <w:footnoteReference w:id="99"/>
      </w:r>
      <w:r>
        <w:rPr>
          <w:rStyle w:val="FootnoteReference"/>
        </w:rPr>
        <w:footnoteReference w:id="101"/>
      </w:r>
      <w:r>
        <w:t xml:space="preserve">. Coffee was flagged as a high-potential product, with India’s per-capita consumption cited at about</w:t>
      </w:r>
      <w:r>
        <w:t xml:space="preserve"> </w:t>
      </w:r>
      <w:r>
        <w:rPr>
          <w:bCs/>
          <w:b/>
        </w:rPr>
        <w:t xml:space="preserve">8 cups/year</w:t>
      </w:r>
      <w:r>
        <w:t xml:space="preserve"> </w:t>
      </w:r>
      <w:r>
        <w:t xml:space="preserve">versus Brazil’s</w:t>
      </w:r>
      <w:r>
        <w:t xml:space="preserve"> </w:t>
      </w:r>
      <w:r>
        <w:rPr>
          <w:bCs/>
          <w:b/>
        </w:rPr>
        <w:t xml:space="preserve">1,400 cups/year</w:t>
      </w:r>
      <w:r>
        <w:t xml:space="preserve"> </w:t>
      </w:r>
      <w:r>
        <w:rPr>
          <w:rStyle w:val="FootnoteReference"/>
        </w:rPr>
        <w:footnoteReference w:id="102"/>
      </w:r>
      <w:r>
        <w:t xml:space="preserve">.</w:t>
      </w:r>
    </w:p>
    <w:p>
      <w:pPr>
        <w:pStyle w:val="BodyText"/>
      </w:pPr>
      <w:r>
        <w:t xml:space="preserve">Brazil’s February soybean exports were reported at</w:t>
      </w:r>
      <w:r>
        <w:t xml:space="preserve"> </w:t>
      </w:r>
      <w:r>
        <w:rPr>
          <w:bCs/>
          <w:b/>
        </w:rPr>
        <w:t xml:space="preserve">269.3k tons/day</w:t>
      </w:r>
      <w:r>
        <w:t xml:space="preserve">,</w:t>
      </w:r>
      <w:r>
        <w:t xml:space="preserve"> </w:t>
      </w:r>
      <w:r>
        <w:rPr>
          <w:bCs/>
          <w:b/>
        </w:rPr>
        <w:t xml:space="preserve">16.2%</w:t>
      </w:r>
      <w:r>
        <w:t xml:space="preserve"> </w:t>
      </w:r>
      <w:r>
        <w:t xml:space="preserve">below the same period in February 2025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05"/>
    <w:bookmarkEnd w:id="106"/>
    <w:bookmarkStart w:id="123" w:name="best-practices"/>
    <w:p>
      <w:pPr>
        <w:pStyle w:val="Heading2"/>
      </w:pPr>
      <w:r>
        <w:t xml:space="preserve">Best Practices</w:t>
      </w:r>
    </w:p>
    <w:bookmarkStart w:id="110" w:name="X6fbfa80623a2f71a3183c2a8c29e904f9c64ad2"/>
    <w:p>
      <w:pPr>
        <w:pStyle w:val="Heading3"/>
      </w:pPr>
      <w:r>
        <w:t xml:space="preserve">Grains: residue and nitrogen management that holds up under tight margins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Uniform residue spread</w:t>
      </w:r>
      <w:r>
        <w:t xml:space="preserve">: Phil Needham emphasized matching the residue chopper/spreader width to the header width to improve uniform emergence in cereals and soybeans (sometimes requiring a narrower header if residue cannot be spread evenly)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Split-N economics</w:t>
      </w:r>
      <w:r>
        <w:t xml:space="preserve">: A 4-year, multi-location corn study cited an economic optimum nitrogen rate of</w:t>
      </w:r>
      <w:r>
        <w:t xml:space="preserve"> </w:t>
      </w:r>
      <w:r>
        <w:rPr>
          <w:bCs/>
          <w:b/>
        </w:rPr>
        <w:t xml:space="preserve">236 lbs/acre</w:t>
      </w:r>
      <w:r>
        <w:t xml:space="preserve">, associated with</w:t>
      </w:r>
      <w:r>
        <w:t xml:space="preserve"> </w:t>
      </w:r>
      <w:r>
        <w:rPr>
          <w:bCs/>
          <w:b/>
        </w:rPr>
        <w:t xml:space="preserve">236 bu/acre</w:t>
      </w:r>
      <w:r>
        <w:t xml:space="preserve">; the system described used a 2x2x2 placement approach with split application timing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bookmarkEnd w:id="110"/>
    <w:bookmarkStart w:id="113" w:name="soil-remediation-high-magnesium-soils"/>
    <w:p>
      <w:pPr>
        <w:pStyle w:val="Heading3"/>
      </w:pPr>
      <w:r>
        <w:t xml:space="preserve">Soil remediation: high-magnesium soils</w:t>
      </w:r>
    </w:p>
    <w:p>
      <w:pPr>
        <w:pStyle w:val="FirstParagraph"/>
      </w:pPr>
      <w:r>
        <w:t xml:space="preserve">Ag PhD described soils with magnesium base saturation above</w:t>
      </w:r>
      <w:r>
        <w:t xml:space="preserve"> </w:t>
      </w:r>
      <w:r>
        <w:rPr>
          <w:bCs/>
          <w:b/>
        </w:rPr>
        <w:t xml:space="preserve">25%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high magnesium soils,</w:t>
      </w:r>
      <w:r>
        <w:t xml:space="preserve">”</w:t>
      </w:r>
      <w:r>
        <w:t xml:space="preserve"> </w:t>
      </w:r>
      <w:r>
        <w:t xml:space="preserve">and suggested remediation via flushing Mg (e.g., tile + calcitic lime over years) or adding sulfur/gypsum to form leachable magnesium sulfate—while prioritizing N, P, K, pH, and micronutrients first</w:t>
      </w:r>
      <w:r>
        <w:t xml:space="preserve"> </w:t>
      </w:r>
      <w:r>
        <w:rPr>
          <w:rStyle w:val="FootnoteReference"/>
        </w:rPr>
        <w:footnoteReference w:id="111"/>
      </w:r>
      <w:r>
        <w:t xml:space="preserve">.</w:t>
      </w:r>
    </w:p>
    <w:bookmarkEnd w:id="113"/>
    <w:bookmarkStart w:id="119" w:name="Xbce6016c06ec7ca58f02ab3a504e6d7366b77e9"/>
    <w:p>
      <w:pPr>
        <w:pStyle w:val="Heading3"/>
      </w:pPr>
      <w:r>
        <w:t xml:space="preserve">Poultry and eggs: yolk color is a feed signal, not a nutrition shortcut</w:t>
      </w:r>
    </w:p>
    <w:p>
      <w:pPr>
        <w:pStyle w:val="FirstParagraph"/>
      </w:pPr>
      <w:r>
        <w:t xml:space="preserve">Egg yolk color was explained as being driven by carotenoids (including beta-carotene) in the bird’s feed, with free-range birds eating corn/fruits/vegetables or calendula producing more intense yolks</w:t>
      </w:r>
      <w:r>
        <w:t xml:space="preserve"> </w:t>
      </w:r>
      <w:r>
        <w:rPr>
          <w:rStyle w:val="FootnoteReference"/>
        </w:rPr>
        <w:footnoteReference w:id="114"/>
      </w:r>
      <w:r>
        <w:rPr>
          <w:rStyle w:val="FootnoteReference"/>
        </w:rPr>
        <w:footnoteReference w:id="116"/>
      </w:r>
      <w:r>
        <w:t xml:space="preserve">. Darker yolks may contain more carotenoids, but were not presented as higher in protein or fat; color is</w:t>
      </w:r>
      <w:r>
        <w:t xml:space="preserve"> </w:t>
      </w:r>
      <w:r>
        <w:t xml:space="preserve">“</w:t>
      </w:r>
      <w:r>
        <w:t xml:space="preserve">not synonymous with nutrition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7"/>
      </w:r>
      <w:r>
        <w:rPr>
          <w:rStyle w:val="FootnoteReference"/>
        </w:rPr>
        <w:footnoteReference w:id="118"/>
      </w:r>
      <w:r>
        <w:t xml:space="preserve">.</w:t>
      </w:r>
    </w:p>
    <w:bookmarkEnd w:id="119"/>
    <w:bookmarkStart w:id="122" w:name="X7512679ee6a5fa208ca417d915b1373c9e6a6fb"/>
    <w:p>
      <w:pPr>
        <w:pStyle w:val="Heading3"/>
      </w:pPr>
      <w:r>
        <w:t xml:space="preserve">On-farm learning loop: equipment maintenance postmortems</w:t>
      </w:r>
    </w:p>
    <w:p>
      <w:pPr>
        <w:pStyle w:val="FirstParagraph"/>
      </w:pPr>
      <w:r>
        <w:t xml:space="preserve">A practical AI workflow shared by an operator: record a short voice-note</w:t>
      </w:r>
      <w:r>
        <w:t xml:space="preserve"> </w:t>
      </w:r>
      <w:r>
        <w:t xml:space="preserve">“</w:t>
      </w:r>
      <w:r>
        <w:t xml:space="preserve">postmortem</w:t>
      </w:r>
      <w:r>
        <w:t xml:space="preserve">”</w:t>
      </w:r>
      <w:r>
        <w:t xml:space="preserve"> </w:t>
      </w:r>
      <w:r>
        <w:t xml:space="preserve">after equipment work, then feed the note into a ChatGPT/Claude project to accumulate a searchable knowledge base over time</w:t>
      </w:r>
      <w:r>
        <w:t xml:space="preserve"> </w:t>
      </w:r>
      <w:r>
        <w:rPr>
          <w:rStyle w:val="FootnoteReference"/>
        </w:rPr>
        <w:footnoteReference w:id="120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2"/>
    <w:bookmarkEnd w:id="123"/>
    <w:bookmarkStart w:id="134" w:name="input-markets"/>
    <w:p>
      <w:pPr>
        <w:pStyle w:val="Heading2"/>
      </w:pPr>
      <w:r>
        <w:t xml:space="preserve">Input Markets</w:t>
      </w:r>
    </w:p>
    <w:bookmarkStart w:id="126" w:name="Xe3df15a27200dd673ffca74ef94bdb0168ca7d3"/>
    <w:p>
      <w:pPr>
        <w:pStyle w:val="Heading3"/>
      </w:pPr>
      <w:r>
        <w:t xml:space="preserve">Fertilizer: nitrogen values rising into spring; phosphate remains policy-sensitive</w:t>
      </w:r>
    </w:p>
    <w:p>
      <w:pPr>
        <w:numPr>
          <w:ilvl w:val="0"/>
          <w:numId w:val="1008"/>
        </w:numPr>
        <w:pStyle w:val="Compact"/>
      </w:pPr>
      <w:r>
        <w:t xml:space="preserve">Fertilizer prices were reported as climbing into spring with nitrogen leading;</w:t>
      </w:r>
      <w:r>
        <w:t xml:space="preserve"> </w:t>
      </w:r>
      <w:r>
        <w:rPr>
          <w:bCs/>
          <w:b/>
        </w:rPr>
        <w:t xml:space="preserve">urea up more than $100/ton since December</w:t>
      </w:r>
      <w:r>
        <w:t xml:space="preserve">, driven by tight global supplies, limited Chinese exports, reduced European production, and Iran-related geopolitical tensions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Anhydrous was described as the cheapest nitrogen option, but all major nitrogen products were reported near record-high levels relative to corn prices; phosphate values remained elevated with China expected to limit exports, while potash was steady and sulfur rising</w:t>
      </w:r>
      <w:r>
        <w:t xml:space="preserve"> </w:t>
      </w:r>
      <w:r>
        <w:rPr>
          <w:rStyle w:val="FootnoteReference"/>
        </w:rPr>
        <w:footnoteReference w:id="125"/>
      </w:r>
      <w:r>
        <w:t xml:space="preserve">.</w:t>
      </w:r>
    </w:p>
    <w:bookmarkEnd w:id="126"/>
    <w:bookmarkStart w:id="129" w:name="X472b06a982952f065182ef988be9255d90181bd"/>
    <w:p>
      <w:pPr>
        <w:pStyle w:val="Heading3"/>
      </w:pPr>
      <w:r>
        <w:t xml:space="preserve">Crop protection and critical inputs: U.S. Defense Production Act action</w:t>
      </w:r>
    </w:p>
    <w:p>
      <w:pPr>
        <w:pStyle w:val="FirstParagraph"/>
      </w:pPr>
      <w:r>
        <w:t xml:space="preserve">President Trump invoked the Defense Production Act via executive order to safeguard supplies of</w:t>
      </w:r>
      <w:r>
        <w:t xml:space="preserve"> </w:t>
      </w:r>
      <w:r>
        <w:rPr>
          <w:bCs/>
          <w:b/>
        </w:rPr>
        <w:t xml:space="preserve">phosphorus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glyphosate-based herbicides</w:t>
      </w:r>
      <w:r>
        <w:t xml:space="preserve">, calling them central to agriculture and national security</w:t>
      </w:r>
      <w:r>
        <w:t xml:space="preserve"> </w:t>
      </w:r>
      <w:r>
        <w:rPr>
          <w:rStyle w:val="FootnoteReference"/>
        </w:rPr>
        <w:footnoteReference w:id="127"/>
      </w:r>
      <w:r>
        <w:t xml:space="preserve">.</w:t>
      </w:r>
    </w:p>
    <w:bookmarkEnd w:id="129"/>
    <w:bookmarkStart w:id="133" w:name="Xd463eec3d8c345ccae7fdb146c6a3de5c403f2d"/>
    <w:p>
      <w:pPr>
        <w:pStyle w:val="Heading3"/>
      </w:pPr>
      <w:r>
        <w:t xml:space="preserve">Biofuels policy and demand: 45Z/RFS plus new market signals</w:t>
      </w:r>
    </w:p>
    <w:p>
      <w:pPr>
        <w:numPr>
          <w:ilvl w:val="0"/>
          <w:numId w:val="1009"/>
        </w:numPr>
        <w:pStyle w:val="Compact"/>
      </w:pPr>
      <w:r>
        <w:t xml:space="preserve">Farm Journal described 45Z-related</w:t>
      </w:r>
      <w:r>
        <w:t xml:space="preserve"> </w:t>
      </w:r>
      <w:r>
        <w:t xml:space="preserve">“</w:t>
      </w:r>
      <w:r>
        <w:t xml:space="preserve">flexible feedstock provisions</w:t>
      </w:r>
      <w:r>
        <w:t xml:space="preserve">”</w:t>
      </w:r>
      <w:r>
        <w:t xml:space="preserve"> </w:t>
      </w:r>
      <w:r>
        <w:t xml:space="preserve">as an upcoming USDA rule that could add incentives at the farm level by increasing derived demand for biofuel inputs (including corn, soy, and potentially canola)</w:t>
      </w:r>
      <w:r>
        <w:t xml:space="preserve"> </w:t>
      </w:r>
      <w:r>
        <w:rPr>
          <w:rStyle w:val="FootnoteReference"/>
        </w:rPr>
        <w:footnoteReference w:id="130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Separately, NASCAR’s partnership to run on</w:t>
      </w:r>
      <w:r>
        <w:t xml:space="preserve"> </w:t>
      </w:r>
      <w:r>
        <w:t xml:space="preserve">“</w:t>
      </w:r>
      <w:r>
        <w:t xml:space="preserve">zero carbon bioethanol</w:t>
      </w:r>
      <w:r>
        <w:t xml:space="preserve">”</w:t>
      </w:r>
      <w:r>
        <w:t xml:space="preserve"> </w:t>
      </w:r>
      <w:r>
        <w:t xml:space="preserve">(via Poet) was framed as another potential demand channel for corn and low-carbon fuels, building on E15 testing history</w:t>
      </w:r>
      <w:r>
        <w:t xml:space="preserve"> </w:t>
      </w:r>
      <w:r>
        <w:rPr>
          <w:rStyle w:val="FootnoteReference"/>
        </w:rPr>
        <w:footnoteReference w:id="132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33"/>
    <w:bookmarkEnd w:id="134"/>
    <w:bookmarkStart w:id="147" w:name="forward-outlook"/>
    <w:p>
      <w:pPr>
        <w:pStyle w:val="Heading2"/>
      </w:pPr>
      <w:r>
        <w:t xml:space="preserve">Forward Outlook</w:t>
      </w:r>
    </w:p>
    <w:bookmarkStart w:id="137" w:name="weather-and-seasonal-risk"/>
    <w:p>
      <w:pPr>
        <w:pStyle w:val="Heading3"/>
      </w:pPr>
      <w:r>
        <w:t xml:space="preserve">Weather and seasonal risk</w:t>
      </w:r>
    </w:p>
    <w:p>
      <w:pPr>
        <w:numPr>
          <w:ilvl w:val="0"/>
          <w:numId w:val="1010"/>
        </w:numPr>
        <w:pStyle w:val="Compact"/>
      </w:pPr>
      <w:r>
        <w:t xml:space="preserve">A Farm Journal weather segment described a transition year from a weak La Niña to weak-to-moderate El Niño, citing model odds rising to a</w:t>
      </w:r>
      <w:r>
        <w:t xml:space="preserve"> </w:t>
      </w:r>
      <w:r>
        <w:rPr>
          <w:bCs/>
          <w:b/>
        </w:rPr>
        <w:t xml:space="preserve">60% chance</w:t>
      </w:r>
      <w:r>
        <w:t xml:space="preserve"> </w:t>
      </w:r>
      <w:r>
        <w:t xml:space="preserve">of El Niño development by July; the speaker associated that pattern with cooler weather and timely rains and said it could support a</w:t>
      </w:r>
      <w:r>
        <w:t xml:space="preserve"> </w:t>
      </w:r>
      <w:r>
        <w:t xml:space="preserve">“</w:t>
      </w:r>
      <w:r>
        <w:t xml:space="preserve">pretty good crop year</w:t>
      </w:r>
      <w:r>
        <w:t xml:space="preserve">”</w:t>
      </w:r>
      <w:r>
        <w:t xml:space="preserve"> </w:t>
      </w:r>
      <w:r>
        <w:t xml:space="preserve">for core corn/soy growing periods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In the Southern Plains, near-term forecasts were described as</w:t>
      </w:r>
      <w:r>
        <w:t xml:space="preserve"> </w:t>
      </w:r>
      <w:r>
        <w:rPr>
          <w:bCs/>
          <w:b/>
        </w:rPr>
        <w:t xml:space="preserve">drier than average</w:t>
      </w:r>
      <w:r>
        <w:t xml:space="preserve"> </w:t>
      </w:r>
      <w:r>
        <w:t xml:space="preserve">for much of the U.S. over the next 10 days, with above-average temperatures and a March pattern that may keep the Southwest/High Plains relatively dry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bookmarkEnd w:id="137"/>
    <w:bookmarkStart w:id="143" w:name="X873c326a566aa2762a404575d3a38adf7f30e56"/>
    <w:p>
      <w:pPr>
        <w:pStyle w:val="Heading3"/>
      </w:pPr>
      <w:r>
        <w:t xml:space="preserve">Policy and program timelines to keep on the calendar</w:t>
      </w:r>
    </w:p>
    <w:p>
      <w:pPr>
        <w:numPr>
          <w:ilvl w:val="0"/>
          <w:numId w:val="1011"/>
        </w:numPr>
        <w:pStyle w:val="Compact"/>
      </w:pPr>
      <w:r>
        <w:t xml:space="preserve">USDA’s</w:t>
      </w:r>
      <w:r>
        <w:t xml:space="preserve"> </w:t>
      </w:r>
      <w:r>
        <w:rPr>
          <w:bCs/>
          <w:b/>
        </w:rPr>
        <w:t xml:space="preserve">Farmer Bridge Assistance</w:t>
      </w:r>
      <w:r>
        <w:t xml:space="preserve"> </w:t>
      </w:r>
      <w:r>
        <w:t xml:space="preserve">program: enrollment runs</w:t>
      </w:r>
      <w:r>
        <w:t xml:space="preserve"> </w:t>
      </w:r>
      <w:r>
        <w:rPr>
          <w:bCs/>
          <w:b/>
        </w:rPr>
        <w:t xml:space="preserve">Feb 23 to April 17, 2026</w:t>
      </w:r>
      <w:r>
        <w:t xml:space="preserve">, providing</w:t>
      </w:r>
      <w:r>
        <w:t xml:space="preserve"> </w:t>
      </w:r>
      <w:r>
        <w:rPr>
          <w:bCs/>
          <w:b/>
        </w:rPr>
        <w:t xml:space="preserve">$11B</w:t>
      </w:r>
      <w:r>
        <w:t xml:space="preserve"> </w:t>
      </w:r>
      <w:r>
        <w:t xml:space="preserve">in one-time bridge payments to row crop producers tied to temporary trade disruptions and increased production costs; application details are at</w:t>
      </w:r>
      <w:r>
        <w:t xml:space="preserve"> </w:t>
      </w:r>
      <w:r>
        <w:rPr>
          <w:bCs/>
          <w:b/>
        </w:rPr>
        <w:t xml:space="preserve">http://fsa.usda.gov/fba</w:t>
      </w:r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40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The House Ag Committee’s Farm Food and National Security Act of 2026 was scheduled for committee markup starting</w:t>
      </w:r>
      <w:r>
        <w:t xml:space="preserve"> </w:t>
      </w:r>
      <w:r>
        <w:rPr>
          <w:bCs/>
          <w:b/>
        </w:rPr>
        <w:t xml:space="preserve">Feb 23</w:t>
      </w:r>
      <w:r>
        <w:t xml:space="preserve">, with potential House floor consideration later in the spring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bookmarkEnd w:id="143"/>
    <w:bookmarkStart w:id="145" w:name="longer-cycle-competitiveness-pressures"/>
    <w:p>
      <w:pPr>
        <w:pStyle w:val="Heading3"/>
      </w:pPr>
      <w:r>
        <w:t xml:space="preserve">Longer-cycle competitiveness pressures</w:t>
      </w:r>
    </w:p>
    <w:p>
      <w:pPr>
        <w:pStyle w:val="FirstParagraph"/>
      </w:pPr>
      <w:r>
        <w:t xml:space="preserve">A Topsoil analysis argued that Brazil’s Southern Hemisphere harvest timing (multiple annual grain supply pulses) has reduced the reliability of the traditional</w:t>
      </w:r>
      <w:r>
        <w:t xml:space="preserve"> </w:t>
      </w:r>
      <w:r>
        <w:t xml:space="preserve">“</w:t>
      </w:r>
      <w:r>
        <w:t xml:space="preserve">summer price rally,</w:t>
      </w:r>
      <w:r>
        <w:t xml:space="preserve">”</w:t>
      </w:r>
      <w:r>
        <w:t xml:space="preserve"> </w:t>
      </w:r>
      <w:r>
        <w:t xml:space="preserve">and that U.S. farmers face additional squeeze because U.S. production costs are higher than Brazil’s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5"/>
    <w:bookmarkStart w:id="1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2"/>
        </w:numPr>
        <w:pStyle w:val="Compact"/>
      </w:pPr>
      <w:hyperlink r:id="rId21">
        <w:r>
          <w:rPr>
            <w:rStyle w:val="Hyperlink"/>
          </w:rPr>
          <w:t xml:space="preserve">Supreme Court Strikes Down Trump Tariffs in 6-3 Landmark Ruling</w:t>
        </w:r>
      </w:hyperlink>
    </w:p>
    <w:p>
      <w:pPr>
        <w:numPr>
          <w:ilvl w:val="0"/>
          <w:numId w:val="1012"/>
        </w:numPr>
        <w:pStyle w:val="Compact"/>
      </w:pPr>
      <w:hyperlink r:id="rId23">
        <w:r>
          <w:rPr>
            <w:rStyle w:val="Hyperlink"/>
          </w:rPr>
          <w:t xml:space="preserve">Friday Footnotes: The Tariff Ruling Impact</w:t>
        </w:r>
      </w:hyperlink>
    </w:p>
    <w:p>
      <w:pPr>
        <w:numPr>
          <w:ilvl w:val="0"/>
          <w:numId w:val="1012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  <w:p>
      <w:pPr>
        <w:numPr>
          <w:ilvl w:val="0"/>
          <w:numId w:val="1012"/>
        </w:numPr>
        <w:pStyle w:val="Compact"/>
      </w:pPr>
      <w:hyperlink r:id="rId29">
        <w:r>
          <w:rPr>
            <w:rStyle w:val="Hyperlink"/>
          </w:rPr>
          <w:t xml:space="preserve">January placements down 5% | Weekly Livestock Market Update for February 20, 2026</w:t>
        </w:r>
      </w:hyperlink>
    </w:p>
    <w:p>
      <w:pPr>
        <w:numPr>
          <w:ilvl w:val="0"/>
          <w:numId w:val="1012"/>
        </w:numPr>
        <w:pStyle w:val="Compact"/>
      </w:pPr>
      <w:hyperlink r:id="rId36">
        <w:r>
          <w:rPr>
            <w:rStyle w:val="Hyperlink"/>
          </w:rPr>
          <w:t xml:space="preserve">Wheat RALLY + Fake USDA Report</w:t>
        </w:r>
      </w:hyperlink>
    </w:p>
    <w:p>
      <w:pPr>
        <w:numPr>
          <w:ilvl w:val="0"/>
          <w:numId w:val="101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  <w:p>
      <w:pPr>
        <w:numPr>
          <w:ilvl w:val="0"/>
          <w:numId w:val="1012"/>
        </w:numPr>
        <w:pStyle w:val="Compact"/>
      </w:pP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  <w:p>
      <w:pPr>
        <w:numPr>
          <w:ilvl w:val="0"/>
          <w:numId w:val="1012"/>
        </w:numPr>
        <w:pStyle w:val="Compact"/>
      </w:pP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  <w:p>
      <w:pPr>
        <w:numPr>
          <w:ilvl w:val="0"/>
          <w:numId w:val="1012"/>
        </w:numPr>
        <w:pStyle w:val="Compact"/>
      </w:pPr>
      <w:hyperlink r:id="rId51">
        <w:r>
          <w:rPr>
            <w:rStyle w:val="Hyperlink"/>
          </w:rPr>
          <w:t xml:space="preserve">From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Feeding 9 billion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Overproducing</w:t>
        </w:r>
        <w:r>
          <w:rPr>
            <w:rStyle w:val="Hyperlink"/>
          </w:rPr>
          <w:t xml:space="preserve">”</w:t>
        </w:r>
      </w:hyperlink>
    </w:p>
    <w:p>
      <w:pPr>
        <w:numPr>
          <w:ilvl w:val="0"/>
          <w:numId w:val="1012"/>
        </w:numPr>
        <w:pStyle w:val="Compact"/>
      </w:pPr>
      <w:hyperlink r:id="rId61">
        <w:r>
          <w:rPr>
            <w:rStyle w:val="Hyperlink"/>
          </w:rPr>
          <w:t xml:space="preserve">Uso de bioinsumos eleva em mais de 8% a produtividade da soja no Paraná</w:t>
        </w:r>
      </w:hyperlink>
    </w:p>
    <w:p>
      <w:pPr>
        <w:numPr>
          <w:ilvl w:val="0"/>
          <w:numId w:val="1012"/>
        </w:numPr>
        <w:pStyle w:val="Compact"/>
      </w:pPr>
      <w:hyperlink r:id="rId72">
        <w:r>
          <w:rPr>
            <w:rStyle w:val="Hyperlink"/>
          </w:rPr>
          <w:t xml:space="preserve">WAS IT ALL WORTH IT!?… SHE COMES TO DROP BOMBS!</w:t>
        </w:r>
      </w:hyperlink>
    </w:p>
    <w:p>
      <w:pPr>
        <w:numPr>
          <w:ilvl w:val="0"/>
          <w:numId w:val="1012"/>
        </w:numPr>
        <w:pStyle w:val="Compact"/>
      </w:pPr>
      <w:hyperlink r:id="rId80">
        <w:r>
          <w:rPr>
            <w:rStyle w:val="Hyperlink"/>
          </w:rPr>
          <w:t xml:space="preserve">EPA Clears Right-to-Repair for Farmers</w:t>
        </w:r>
      </w:hyperlink>
    </w:p>
    <w:p>
      <w:pPr>
        <w:numPr>
          <w:ilvl w:val="0"/>
          <w:numId w:val="1012"/>
        </w:numPr>
        <w:pStyle w:val="Compact"/>
      </w:pPr>
      <w:hyperlink r:id="rId84">
        <w:r>
          <w:rPr>
            <w:rStyle w:val="Hyperlink"/>
          </w:rPr>
          <w:t xml:space="preserve">Wind, Drought Fuel Southern Plains Wildfires as Dry Pattern Persists</w:t>
        </w:r>
      </w:hyperlink>
    </w:p>
    <w:p>
      <w:pPr>
        <w:numPr>
          <w:ilvl w:val="0"/>
          <w:numId w:val="1012"/>
        </w:numPr>
        <w:pStyle w:val="Compact"/>
      </w:pPr>
      <w:hyperlink r:id="rId86">
        <w:r>
          <w:rPr>
            <w:rStyle w:val="Hyperlink"/>
          </w:rPr>
          <w:t xml:space="preserve">2470 Case Traction King</w:t>
        </w:r>
      </w:hyperlink>
    </w:p>
    <w:p>
      <w:pPr>
        <w:numPr>
          <w:ilvl w:val="0"/>
          <w:numId w:val="1012"/>
        </w:numPr>
        <w:pStyle w:val="Compact"/>
      </w:pPr>
      <w:hyperlink r:id="rId92">
        <w:r>
          <w:rPr>
            <w:rStyle w:val="Hyperlink"/>
          </w:rPr>
          <w:t xml:space="preserve">When the Water’s Gone But the Whiskey’s Strong, How Colorado Farmer Marc Arnusch Controls Risk</w:t>
        </w:r>
      </w:hyperlink>
    </w:p>
    <w:p>
      <w:pPr>
        <w:numPr>
          <w:ilvl w:val="0"/>
          <w:numId w:val="1012"/>
        </w:numPr>
        <w:pStyle w:val="Compact"/>
      </w:pPr>
      <w:hyperlink r:id="rId96">
        <w:r>
          <w:rPr>
            <w:rStyle w:val="Hyperlink"/>
          </w:rPr>
          <w:t xml:space="preserve">Forte temporal no RS causa estragos em pelo menos oito cidades | Rural Notícias - 19/02/2026</w:t>
        </w:r>
      </w:hyperlink>
    </w:p>
    <w:p>
      <w:pPr>
        <w:numPr>
          <w:ilvl w:val="0"/>
          <w:numId w:val="1012"/>
        </w:numPr>
        <w:pStyle w:val="Compact"/>
      </w:pPr>
      <w:hyperlink r:id="rId100">
        <w:r>
          <w:rPr>
            <w:rStyle w:val="Hyperlink"/>
          </w:rPr>
          <w:t xml:space="preserve">Presidente Lula participa da inauguração de novo escritório da ApexBrasil na Índia</w:t>
        </w:r>
      </w:hyperlink>
    </w:p>
    <w:p>
      <w:pPr>
        <w:numPr>
          <w:ilvl w:val="0"/>
          <w:numId w:val="1012"/>
        </w:numPr>
        <w:pStyle w:val="Compact"/>
      </w:pPr>
      <w:hyperlink r:id="rId104">
        <w:r>
          <w:rPr>
            <w:rStyle w:val="Hyperlink"/>
          </w:rPr>
          <w:t xml:space="preserve">AO VIVO: Brasil amplia presença no exterior com escritório da ApexBrasil na Índia | M&amp;C – 20/02/2026</w:t>
        </w:r>
      </w:hyperlink>
    </w:p>
    <w:p>
      <w:pPr>
        <w:numPr>
          <w:ilvl w:val="0"/>
          <w:numId w:val="1012"/>
        </w:numPr>
        <w:pStyle w:val="Compact"/>
      </w:pPr>
      <w:hyperlink r:id="rId108">
        <w:r>
          <w:rPr>
            <w:rStyle w:val="Hyperlink"/>
          </w:rPr>
          <w:t xml:space="preserve">No-Till Legend Shares Residue Management Tips at National Farm Machinery Show</w:t>
        </w:r>
      </w:hyperlink>
    </w:p>
    <w:p>
      <w:pPr>
        <w:numPr>
          <w:ilvl w:val="0"/>
          <w:numId w:val="1012"/>
        </w:numPr>
        <w:pStyle w:val="Compact"/>
      </w:pP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  <w:p>
      <w:pPr>
        <w:numPr>
          <w:ilvl w:val="0"/>
          <w:numId w:val="1012"/>
        </w:numPr>
        <w:pStyle w:val="Compact"/>
      </w:pPr>
      <w:hyperlink r:id="rId115">
        <w:r>
          <w:rPr>
            <w:rStyle w:val="Hyperlink"/>
          </w:rPr>
          <w:t xml:space="preserve">Mito ou verdade: gema do ovo mais escura é mais nutritiva?</w:t>
        </w:r>
      </w:hyperlink>
    </w:p>
    <w:p>
      <w:pPr>
        <w:numPr>
          <w:ilvl w:val="0"/>
          <w:numId w:val="1012"/>
        </w:numPr>
        <w:pStyle w:val="Compact"/>
      </w:pP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  <w:p>
      <w:pPr>
        <w:numPr>
          <w:ilvl w:val="0"/>
          <w:numId w:val="1012"/>
        </w:numPr>
        <w:pStyle w:val="Compact"/>
      </w:pPr>
      <w:hyperlink r:id="rId128">
        <w:r>
          <w:rPr>
            <w:rStyle w:val="Hyperlink"/>
          </w:rPr>
          <w:t xml:space="preserve">AgDay In Depth What Does an Executive Order About Ag Products Mean for Producers?</w:t>
        </w:r>
      </w:hyperlink>
    </w:p>
    <w:p>
      <w:pPr>
        <w:numPr>
          <w:ilvl w:val="0"/>
          <w:numId w:val="1012"/>
        </w:numPr>
        <w:pStyle w:val="Compact"/>
      </w:pPr>
      <w:hyperlink r:id="rId131">
        <w:r>
          <w:rPr>
            <w:rStyle w:val="Hyperlink"/>
          </w:rPr>
          <w:t xml:space="preserve">The Wildcards to Watch That Could Impact the Farm Economy in 2026</w:t>
        </w:r>
      </w:hyperlink>
    </w:p>
    <w:p>
      <w:pPr>
        <w:numPr>
          <w:ilvl w:val="0"/>
          <w:numId w:val="1012"/>
        </w:numPr>
        <w:pStyle w:val="Compact"/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</w:t>
        </w:r>
      </w:hyperlink>
    </w:p>
    <w:p>
      <w:pPr>
        <w:numPr>
          <w:ilvl w:val="0"/>
          <w:numId w:val="1012"/>
        </w:numPr>
        <w:pStyle w:val="Compact"/>
      </w:pPr>
      <w:hyperlink r:id="rId142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  <w:bookmarkEnd w:id="146"/>
    <w:bookmarkEnd w:id="147"/>
    <w:bookmarkEnd w:id="1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Supreme Court Strikes Down Trump Tariffs in 6-3 Landmark Ruling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Friday Footnotes: The Tariff Ruling Impact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Supreme Court Strikes Down Trump Tariffs in 6-3 Landmark Ruling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Friday Footnotes: The Tariff Ruling Impact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@ArlanFF101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January placements down 5% | Weekly Livestock Market Update for February 20, 2026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Wheat RALLY + Fake USDA Report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Wheat RALLY + Fake USDA Report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Wheat RALLY + Fake USDA Report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@MarketMinuteLLC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From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Feeding 9 billion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Overproducing</w:t>
        </w:r>
        <w:r>
          <w:rPr>
            <w:rStyle w:val="Hyperlink"/>
          </w:rPr>
          <w:t xml:space="preserve">”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Supreme Court Strikes Down Trump Tariffs in 6-3 Landmark Ruling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January placements down 5% | Weekly Livestock Market Update for February 20, 2026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January placements down 5% | Weekly Livestock Market Update for February 20, 2026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Uso de bioinsumos eleva em mais de 8% a produtividade da soja no Paraná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Uso de bioinsumos eleva em mais de 8% a produtividade da soja no Paraná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Uso de bioinsumos eleva em mais de 8% a produtividade da soja no Paraná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Uso de bioinsumos eleva em mais de 8% a produtividade da soja no Paraná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Uso de bioinsumos eleva em mais de 8% a produtividade da soja no Paraná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WAS IT ALL WORTH IT!?… SHE COMES TO DROP BOMBS!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WAS IT ALL WORTH IT!?… SHE COMES TO DROP BOMBS!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WAS IT ALL WORTH IT!?… SHE COMES TO DROP BOMBS!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WAS IT ALL WORTH IT!?… SHE COMES TO DROP BOMBS!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EPA Clears Right-to-Repair for Farmers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Wind, Drought Fuel Southern Plains Wildfires as Dry Pattern Persists</w:t>
        </w:r>
      </w:hyperlink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2470 Case Traction King</w:t>
        </w:r>
      </w:hyperlink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6">
        <w:r>
          <w:rPr>
            <w:rStyle w:val="Hyperlink"/>
          </w:rPr>
          <w:t xml:space="preserve">2470 Case Traction King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Wind, Drought Fuel Southern Plains Wildfires as Dry Pattern Persists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Wind, Drought Fuel Southern Plains Wildfires as Dry Pattern Persists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When the Water’s Gone But the Whiskey’s Strong, How Colorado Farmer Marc Arnusch Controls Risk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When the Water’s Gone But the Whiskey’s Strong, How Colorado Farmer Marc Arnusch Controls Risk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Forte temporal no RS causa estragos em pelo menos oito cidades | Rural Notícias - 19/02/2026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Forte temporal no RS causa estragos em pelo menos oito cidades | Rural Notícias - 19/02/2026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Presidente Lula participa da inauguração de novo escritório da ApexBrasil na Índia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Presidente Lula participa da inauguração de novo escritório da ApexBrasil na Índia</w:t>
        </w:r>
      </w:hyperlink>
    </w:p>
  </w:footnote>
  <w:footnote w:id="1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Presidente Lula participa da inauguração de novo escritório da ApexBrasil na Índia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AO VIVO: Brasil amplia presença no exterior com escritório da ApexBrasil na Índia | M&amp;C – 20/02/2026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No-Till Legend Shares Residue Management Tips at National Farm Machinery Show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No-Till Legend Shares Residue Management Tips at National Farm Machinery Show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@AgPhDMedia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Mito ou verdade: gema do ovo mais escura é mais nutritiva?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Mito ou verdade: gema do ovo mais escura é mais nutritiva?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Mito ou verdade: gema do ovo mais escura é mais nutritiva?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Mito ou verdade: gema do ovo mais escura é mais nutritiva?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1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8">
        <w:r>
          <w:rPr>
            <w:rStyle w:val="Hyperlink"/>
          </w:rPr>
          <w:t xml:space="preserve">AgDay In Depth What Does an Executive Order About Ag Products Mean for Producers?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The Wildcards to Watch That Could Impact the Farm Economy in 2026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Markets Now Closes - 2/20 Soybeans Fall on SCOTUS Tariff Ruling: Wheat Makes New Highs, Corn Follows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4">
        <w:r>
          <w:rPr>
            <w:rStyle w:val="Hyperlink"/>
          </w:rPr>
          <w:t xml:space="preserve">Wind, Drought Fuel Southern Plains Wildfires as Dry Pattern Persists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February 20, 2026: Farm Bill Developments, Farmer Assistance and Swine Productivity Strategies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From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Feeding 9 billion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to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Overproducing</w:t>
        </w:r>
        <w:r>
          <w:rPr>
            <w:rStyle w:val="Hyperlink"/>
          </w:rPr>
          <w:t xml:space="preserve">”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hyperlink" Id="rId23" Target="https://goddessofgrain.substack.com/p/friday-footnotes-the-tariff-ruling" TargetMode="External" /><Relationship Type="http://schemas.openxmlformats.org/officeDocument/2006/relationships/hyperlink" Id="rId51" Target="https://topsoil.substack.com/p/overproducing" TargetMode="External" /><Relationship Type="http://schemas.openxmlformats.org/officeDocument/2006/relationships/hyperlink" Id="rId128" Target="https://www.youtube.com/watch?v=2XlHONIREE0" TargetMode="External" /><Relationship Type="http://schemas.openxmlformats.org/officeDocument/2006/relationships/hyperlink" Id="rId29" Target="https://www.youtube.com/watch?v=4YINz2niXos" TargetMode="External" /><Relationship Type="http://schemas.openxmlformats.org/officeDocument/2006/relationships/hyperlink" Id="rId104" Target="https://www.youtube.com/watch?v=7QkIEbu8HuQ" TargetMode="External" /><Relationship Type="http://schemas.openxmlformats.org/officeDocument/2006/relationships/hyperlink" Id="rId84" Target="https://www.youtube.com/watch?v=E32pStthmsc" TargetMode="External" /><Relationship Type="http://schemas.openxmlformats.org/officeDocument/2006/relationships/hyperlink" Id="rId86" Target="https://www.youtube.com/watch?v=EVdrocotbUU" TargetMode="External" /><Relationship Type="http://schemas.openxmlformats.org/officeDocument/2006/relationships/hyperlink" Id="rId21" Target="https://www.youtube.com/watch?v=NWFGGA9rt-w" TargetMode="External" /><Relationship Type="http://schemas.openxmlformats.org/officeDocument/2006/relationships/hyperlink" Id="rId131" Target="https://www.youtube.com/watch?v=O7cBFuQfF5A" TargetMode="External" /><Relationship Type="http://schemas.openxmlformats.org/officeDocument/2006/relationships/hyperlink" Id="rId72" Target="https://www.youtube.com/watch?v=OJY82BLZC3w" TargetMode="External" /><Relationship Type="http://schemas.openxmlformats.org/officeDocument/2006/relationships/hyperlink" Id="rId142" Target="https://www.youtube.com/watch?v=QlVorw23eYw" TargetMode="External" /><Relationship Type="http://schemas.openxmlformats.org/officeDocument/2006/relationships/hyperlink" Id="rId44" Target="https://www.youtube.com/watch?v=SxSIRdKL56k" TargetMode="External" /><Relationship Type="http://schemas.openxmlformats.org/officeDocument/2006/relationships/hyperlink" Id="rId47" Target="https://www.youtube.com/watch?v=Yvou8mmvwPI" TargetMode="External" /><Relationship Type="http://schemas.openxmlformats.org/officeDocument/2006/relationships/hyperlink" Id="rId100" Target="https://www.youtube.com/watch?v=ZYSVzKjKsWM" TargetMode="External" /><Relationship Type="http://schemas.openxmlformats.org/officeDocument/2006/relationships/hyperlink" Id="rId92" Target="https://www.youtube.com/watch?v=bMPuRf-x88M" TargetMode="External" /><Relationship Type="http://schemas.openxmlformats.org/officeDocument/2006/relationships/hyperlink" Id="rId80" Target="https://www.youtube.com/watch?v=gU4X7T6a7bk" TargetMode="External" /><Relationship Type="http://schemas.openxmlformats.org/officeDocument/2006/relationships/hyperlink" Id="rId36" Target="https://www.youtube.com/watch?v=hMqYOUk3LT0" TargetMode="External" /><Relationship Type="http://schemas.openxmlformats.org/officeDocument/2006/relationships/hyperlink" Id="rId115" Target="https://www.youtube.com/watch?v=phdOKJ2L-Ic" TargetMode="External" /><Relationship Type="http://schemas.openxmlformats.org/officeDocument/2006/relationships/hyperlink" Id="rId108" Target="https://www.youtube.com/watch?v=siQOHxddrhE" TargetMode="External" /><Relationship Type="http://schemas.openxmlformats.org/officeDocument/2006/relationships/hyperlink" Id="rId61" Target="https://www.youtube.com/watch?v=tfta_OYVivk" TargetMode="External" /><Relationship Type="http://schemas.openxmlformats.org/officeDocument/2006/relationships/hyperlink" Id="rId96" Target="https://www.youtube.com/watch?v=vsNUJVEriBs" TargetMode="External" /><Relationship Type="http://schemas.openxmlformats.org/officeDocument/2006/relationships/hyperlink" Id="rId112" Target="https://x.com/AgPhDMedia/status/2024847287353012345" TargetMode="External" /><Relationship Type="http://schemas.openxmlformats.org/officeDocument/2006/relationships/hyperlink" Id="rId27" Target="https://x.com/ArlanFF101/status/2024877635759738915" TargetMode="External" /><Relationship Type="http://schemas.openxmlformats.org/officeDocument/2006/relationships/hyperlink" Id="rId40" Target="https://x.com/MarketMinuteLLC/status/2025032846134440120" TargetMode="External" /><Relationship Type="http://schemas.openxmlformats.org/officeDocument/2006/relationships/hyperlink" Id="rId121" Target="https://x.com/NickHorob/status/2024876765718454347" TargetMode="External" /><Relationship Type="http://schemas.openxmlformats.org/officeDocument/2006/relationships/hyperlink" Id="rId139" Target="https://x.com/USDA/status/2024871135087628449" TargetMode="External" /><Relationship Type="http://schemas.openxmlformats.org/officeDocument/2006/relationships/hyperlink" Id="rId33" Target="https://youtube.com/watch?v=NWFGGA9rt-w&amp;t=5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goddessofgrain.substack.com/p/friday-footnotes-the-tariff-ruling" TargetMode="External" /><Relationship Type="http://schemas.openxmlformats.org/officeDocument/2006/relationships/hyperlink" Id="rId51" Target="https://topsoil.substack.com/p/overproducing" TargetMode="External" /><Relationship Type="http://schemas.openxmlformats.org/officeDocument/2006/relationships/hyperlink" Id="rId128" Target="https://www.youtube.com/watch?v=2XlHONIREE0" TargetMode="External" /><Relationship Type="http://schemas.openxmlformats.org/officeDocument/2006/relationships/hyperlink" Id="rId29" Target="https://www.youtube.com/watch?v=4YINz2niXos" TargetMode="External" /><Relationship Type="http://schemas.openxmlformats.org/officeDocument/2006/relationships/hyperlink" Id="rId104" Target="https://www.youtube.com/watch?v=7QkIEbu8HuQ" TargetMode="External" /><Relationship Type="http://schemas.openxmlformats.org/officeDocument/2006/relationships/hyperlink" Id="rId84" Target="https://www.youtube.com/watch?v=E32pStthmsc" TargetMode="External" /><Relationship Type="http://schemas.openxmlformats.org/officeDocument/2006/relationships/hyperlink" Id="rId86" Target="https://www.youtube.com/watch?v=EVdrocotbUU" TargetMode="External" /><Relationship Type="http://schemas.openxmlformats.org/officeDocument/2006/relationships/hyperlink" Id="rId21" Target="https://www.youtube.com/watch?v=NWFGGA9rt-w" TargetMode="External" /><Relationship Type="http://schemas.openxmlformats.org/officeDocument/2006/relationships/hyperlink" Id="rId131" Target="https://www.youtube.com/watch?v=O7cBFuQfF5A" TargetMode="External" /><Relationship Type="http://schemas.openxmlformats.org/officeDocument/2006/relationships/hyperlink" Id="rId72" Target="https://www.youtube.com/watch?v=OJY82BLZC3w" TargetMode="External" /><Relationship Type="http://schemas.openxmlformats.org/officeDocument/2006/relationships/hyperlink" Id="rId142" Target="https://www.youtube.com/watch?v=QlVorw23eYw" TargetMode="External" /><Relationship Type="http://schemas.openxmlformats.org/officeDocument/2006/relationships/hyperlink" Id="rId44" Target="https://www.youtube.com/watch?v=SxSIRdKL56k" TargetMode="External" /><Relationship Type="http://schemas.openxmlformats.org/officeDocument/2006/relationships/hyperlink" Id="rId47" Target="https://www.youtube.com/watch?v=Yvou8mmvwPI" TargetMode="External" /><Relationship Type="http://schemas.openxmlformats.org/officeDocument/2006/relationships/hyperlink" Id="rId100" Target="https://www.youtube.com/watch?v=ZYSVzKjKsWM" TargetMode="External" /><Relationship Type="http://schemas.openxmlformats.org/officeDocument/2006/relationships/hyperlink" Id="rId92" Target="https://www.youtube.com/watch?v=bMPuRf-x88M" TargetMode="External" /><Relationship Type="http://schemas.openxmlformats.org/officeDocument/2006/relationships/hyperlink" Id="rId80" Target="https://www.youtube.com/watch?v=gU4X7T6a7bk" TargetMode="External" /><Relationship Type="http://schemas.openxmlformats.org/officeDocument/2006/relationships/hyperlink" Id="rId36" Target="https://www.youtube.com/watch?v=hMqYOUk3LT0" TargetMode="External" /><Relationship Type="http://schemas.openxmlformats.org/officeDocument/2006/relationships/hyperlink" Id="rId115" Target="https://www.youtube.com/watch?v=phdOKJ2L-Ic" TargetMode="External" /><Relationship Type="http://schemas.openxmlformats.org/officeDocument/2006/relationships/hyperlink" Id="rId108" Target="https://www.youtube.com/watch?v=siQOHxddrhE" TargetMode="External" /><Relationship Type="http://schemas.openxmlformats.org/officeDocument/2006/relationships/hyperlink" Id="rId61" Target="https://www.youtube.com/watch?v=tfta_OYVivk" TargetMode="External" /><Relationship Type="http://schemas.openxmlformats.org/officeDocument/2006/relationships/hyperlink" Id="rId96" Target="https://www.youtube.com/watch?v=vsNUJVEriBs" TargetMode="External" /><Relationship Type="http://schemas.openxmlformats.org/officeDocument/2006/relationships/hyperlink" Id="rId112" Target="https://x.com/AgPhDMedia/status/2024847287353012345" TargetMode="External" /><Relationship Type="http://schemas.openxmlformats.org/officeDocument/2006/relationships/hyperlink" Id="rId27" Target="https://x.com/ArlanFF101/status/2024877635759738915" TargetMode="External" /><Relationship Type="http://schemas.openxmlformats.org/officeDocument/2006/relationships/hyperlink" Id="rId40" Target="https://x.com/MarketMinuteLLC/status/2025032846134440120" TargetMode="External" /><Relationship Type="http://schemas.openxmlformats.org/officeDocument/2006/relationships/hyperlink" Id="rId121" Target="https://x.com/NickHorob/status/2024876765718454347" TargetMode="External" /><Relationship Type="http://schemas.openxmlformats.org/officeDocument/2006/relationships/hyperlink" Id="rId139" Target="https://x.com/USDA/status/2024871135087628449" TargetMode="External" /><Relationship Type="http://schemas.openxmlformats.org/officeDocument/2006/relationships/hyperlink" Id="rId33" Target="https://youtube.com/watch?v=NWFGGA9rt-w&amp;t=5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 ruling reshapes trade uncertainty as KC wheat rally extends and fertilizer costs climb</dc:title>
  <dc:creator>Global Agricultural Developments</dc:creator>
  <cp:keywords/>
  <dcterms:created xsi:type="dcterms:W3CDTF">2026-02-21T21:49:31Z</dcterms:created>
  <dcterms:modified xsi:type="dcterms:W3CDTF">2026-02-21T21:49:31Z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2026-02-21</vt:lpwstr>
  </property>
</Properties>
</file>