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Tariff shifts and new market access: Supreme Court ruling, Indonesia deal, and weather-driven regional risk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2026-02-22</w:t>
      </w:r>
    </w:p>
    <w:bookmarkStart w:id="81" w:name="Xa3e0807c147097a4b4ff02308cc4fa316092d38"/>
    <w:p>
      <w:pPr>
        <w:pStyle w:val="Heading1"/>
      </w:pPr>
      <w:r>
        <w:t xml:space="preserve">Tariff shifts and new market access: Supreme Court ruling, Indonesia deal, and weather-driven regional risk</w:t>
      </w:r>
    </w:p>
    <w:p>
      <w:pPr>
        <w:pStyle w:val="FirstParagraph"/>
      </w:pPr>
      <w:r>
        <w:rPr>
          <w:iCs/>
          <w:i/>
        </w:rPr>
        <w:t xml:space="preserve">By Global Agricultural Developments • February 22, 2026</w:t>
      </w:r>
    </w:p>
    <w:p>
      <w:pPr>
        <w:pStyle w:val="BodyText"/>
      </w:pPr>
      <w:r>
        <w:t xml:space="preserve">Trade policy and market access were the key themes this cycle, led by a U.S. Supreme Court tariff decision with potential knock-on effects for China soybean commitments and duties affecting India, Canada, and Mexico. Also included: drought and flood impacts across Colorado and Turkey, plus practical reminders on soil organic matter, cold germination testing, and farmer-led profit discipline.</w:t>
      </w:r>
    </w:p>
    <w:bookmarkStart w:id="34" w:name="market-movers"/>
    <w:p>
      <w:pPr>
        <w:pStyle w:val="Heading2"/>
      </w:pPr>
      <w:r>
        <w:t xml:space="preserve">Market Movers</w:t>
      </w:r>
    </w:p>
    <w:bookmarkStart w:id="30" w:name="Xe8febae0e8c4587d75031e0113e5362c464edde"/>
    <w:p>
      <w:pPr>
        <w:pStyle w:val="Heading3"/>
      </w:pPr>
      <w:r>
        <w:t xml:space="preserve">U.S. trade policy: Supreme Court tariff ruling adds new uncertainty for key partners (China, India, Canada, Mexico)</w:t>
      </w:r>
    </w:p>
    <w:p>
      <w:pPr>
        <w:pStyle w:val="FirstParagraph"/>
      </w:pPr>
      <w:r>
        <w:t xml:space="preserve">A U.S. Supreme Court decision found tariffs imposed under an economic emergency law to be illegal in a</w:t>
      </w:r>
      <w:r>
        <w:t xml:space="preserve"> </w:t>
      </w:r>
      <w:r>
        <w:rPr>
          <w:bCs/>
          <w:b/>
        </w:rPr>
        <w:t xml:space="preserve">6–3 ruling</w:t>
      </w:r>
      <w:r>
        <w:t xml:space="preserve">, concluding the</w:t>
      </w:r>
      <w:r>
        <w:t xml:space="preserve"> </w:t>
      </w:r>
      <w:r>
        <w:rPr>
          <w:bCs/>
          <w:b/>
        </w:rPr>
        <w:t xml:space="preserve">International Emergency Economic Powers Act (IEEPA)</w:t>
      </w:r>
      <w:r>
        <w:t xml:space="preserve"> </w:t>
      </w:r>
      <w:r>
        <w:t xml:space="preserve">did not grant the president the power used to impose certain tariffs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pStyle w:val="BodyText"/>
      </w:pPr>
      <w:r>
        <w:t xml:space="preserve">What was described as removed in the coverage: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10% reciprocal/fentanyl-related tariffs</w:t>
      </w:r>
      <w:r>
        <w:t xml:space="preserve"> </w:t>
      </w:r>
      <w:r>
        <w:t xml:space="preserve">affecting trading partners including</w:t>
      </w:r>
      <w:r>
        <w:t xml:space="preserve"> </w:t>
      </w:r>
      <w:r>
        <w:rPr>
          <w:bCs/>
          <w:b/>
        </w:rPr>
        <w:t xml:space="preserve">Canada, Mexico, and China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18–25% duties on India</w:t>
      </w:r>
      <w:r>
        <w:t xml:space="preserve">, reverting trade terms back to</w:t>
      </w:r>
      <w:r>
        <w:t xml:space="preserve"> </w:t>
      </w:r>
      <w:r>
        <w:rPr>
          <w:bCs/>
          <w:b/>
        </w:rPr>
        <w:t xml:space="preserve">favored nation status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FirstParagraph"/>
      </w:pPr>
      <w:r>
        <w:t xml:space="preserve">Agriculture-specific market sensitivity flagged in the segment centered on China and soybeans:</w:t>
      </w:r>
    </w:p>
    <w:p>
      <w:pPr>
        <w:numPr>
          <w:ilvl w:val="0"/>
          <w:numId w:val="1002"/>
        </w:numPr>
        <w:pStyle w:val="Compact"/>
      </w:pPr>
      <w:r>
        <w:t xml:space="preserve">The key question is how this affects the U.S. deal with China, especially</w:t>
      </w:r>
      <w:r>
        <w:t xml:space="preserve"> </w:t>
      </w:r>
      <w:r>
        <w:rPr>
          <w:bCs/>
          <w:b/>
        </w:rPr>
        <w:t xml:space="preserve">soybean purchases</w:t>
      </w:r>
      <w:r>
        <w:t xml:space="preserve">, and whether it reduces U.S. negotiating leverage in other trade frameworks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There was also concern China could use the ruling as leverage to exit recent trade frameworks or</w:t>
      </w:r>
      <w:r>
        <w:t xml:space="preserve"> </w:t>
      </w:r>
      <w:r>
        <w:rPr>
          <w:bCs/>
          <w:b/>
        </w:rPr>
        <w:t xml:space="preserve">soybean purchase commitments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U.S. Supreme Court Strikes Down Several of President Trump’s Tariffs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TABlT2s8S6I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U.S. Supreme Court Strikes Down Several of President Trump’s Tariffs (0:06)</w:t>
      </w:r>
    </w:p>
    <w:bookmarkEnd w:id="30"/>
    <w:bookmarkStart w:id="33" w:name="X1fddefbe5772ff9bce8f5ef1f1e59db2a089b18"/>
    <w:p>
      <w:pPr>
        <w:pStyle w:val="Heading3"/>
      </w:pPr>
      <w:r>
        <w:t xml:space="preserve">U.S.–Indonesia trade agreement: tariff elimination framed as a broad ag opportunity</w:t>
      </w:r>
    </w:p>
    <w:p>
      <w:pPr>
        <w:pStyle w:val="FirstParagraph"/>
      </w:pPr>
      <w:r>
        <w:t xml:space="preserve">A U.S.–Indonesia trade agreement was described as eliminating tariffs on</w:t>
      </w:r>
      <w:r>
        <w:t xml:space="preserve"> </w:t>
      </w:r>
      <w:r>
        <w:rPr>
          <w:bCs/>
          <w:b/>
        </w:rPr>
        <w:t xml:space="preserve">most American exports</w:t>
      </w:r>
      <w:r>
        <w:t xml:space="preserve">, expanding opportunities across the</w:t>
      </w:r>
      <w:r>
        <w:t xml:space="preserve"> </w:t>
      </w:r>
      <w:r>
        <w:rPr>
          <w:bCs/>
          <w:b/>
        </w:rPr>
        <w:t xml:space="preserve">agricultural sector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bookmarkEnd w:id="33"/>
    <w:bookmarkEnd w:id="34"/>
    <w:bookmarkStart w:id="52" w:name="innovation-spotlight"/>
    <w:p>
      <w:pPr>
        <w:pStyle w:val="Heading2"/>
      </w:pPr>
      <w:r>
        <w:t xml:space="preserve">Innovation Spotlight</w:t>
      </w:r>
    </w:p>
    <w:bookmarkStart w:id="41" w:name="X007857de18f2d37116e16d4155828871e8c77dc"/>
    <w:p>
      <w:pPr>
        <w:pStyle w:val="Heading3"/>
      </w:pPr>
      <w:r>
        <w:t xml:space="preserve">Farm business discipline:</w:t>
      </w:r>
      <w:r>
        <w:t xml:space="preserve"> </w:t>
      </w:r>
      <w:r>
        <w:t xml:space="preserve">“</w:t>
      </w:r>
      <w:r>
        <w:t xml:space="preserve">profit over pride</w:t>
      </w:r>
      <w:r>
        <w:t xml:space="preserve">”</w:t>
      </w:r>
      <w:r>
        <w:t xml:space="preserve"> </w:t>
      </w:r>
      <w:r>
        <w:t xml:space="preserve">after overexpansion (Iowa)</w:t>
      </w:r>
    </w:p>
    <w:p>
      <w:pPr>
        <w:pStyle w:val="FirstParagraph"/>
      </w:pPr>
      <w:r>
        <w:t xml:space="preserve">An Iowa farmer,</w:t>
      </w:r>
      <w:r>
        <w:t xml:space="preserve"> </w:t>
      </w:r>
      <w:r>
        <w:rPr>
          <w:bCs/>
          <w:b/>
        </w:rPr>
        <w:t xml:space="preserve">Rusty Olson</w:t>
      </w:r>
      <w:r>
        <w:t xml:space="preserve">, runs a parallel operation with</w:t>
      </w:r>
      <w:r>
        <w:t xml:space="preserve"> </w:t>
      </w:r>
      <w:r>
        <w:rPr>
          <w:bCs/>
          <w:b/>
        </w:rPr>
        <w:t xml:space="preserve">conventional and organic acres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 After expanding too quickly and struggling financially, he emphasized keeping close track of farm numbers and prioritizing</w:t>
      </w:r>
      <w:r>
        <w:t xml:space="preserve"> </w:t>
      </w:r>
      <w:r>
        <w:rPr>
          <w:bCs/>
          <w:b/>
        </w:rPr>
        <w:t xml:space="preserve">net profit over pride</w:t>
      </w:r>
      <w:r>
        <w:t xml:space="preserve">, reporting improved profitability by farming</w:t>
      </w:r>
      <w:r>
        <w:t xml:space="preserve"> </w:t>
      </w:r>
      <w:r>
        <w:rPr>
          <w:bCs/>
          <w:b/>
        </w:rPr>
        <w:t xml:space="preserve">fewer acres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odyText"/>
      </w:pPr>
      <w:r>
        <w:t xml:space="preserve">Related coverage also highlights Olson’s focus on balancing organic and conventional acres and</w:t>
      </w:r>
      <w:r>
        <w:t xml:space="preserve"> </w:t>
      </w:r>
      <w:r>
        <w:t xml:space="preserve">“</w:t>
      </w:r>
      <w:r>
        <w:t xml:space="preserve">knowing his numbers</w:t>
      </w:r>
      <w:r>
        <w:t xml:space="preserve">”</w:t>
      </w:r>
      <w:r>
        <w:t xml:space="preserve"> </w:t>
      </w:r>
      <w:r>
        <w:t xml:space="preserve">as a mindset shift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Full story (source link): https://www.agriculture.com/iowa-farmer-boosts-profit-by-farming-fewer-acres-11910790?taid=699a0eca8e21f400010d9f99&amp;utm_campaign=trueanthem&amp;utm_medium=social&amp;utm_source=twitter</w:t>
      </w:r>
      <w:r>
        <w:t xml:space="preserve"> </w:t>
      </w:r>
      <w:r>
        <w:rPr>
          <w:rStyle w:val="FootnoteReference"/>
        </w:rPr>
        <w:footnoteReference w:id="40"/>
      </w:r>
    </w:p>
    <w:bookmarkEnd w:id="41"/>
    <w:bookmarkStart w:id="45" w:name="X450229677a2a3b02039f4375f3c9efc42c5badf"/>
    <w:p>
      <w:pPr>
        <w:pStyle w:val="Heading3"/>
      </w:pPr>
      <w:r>
        <w:t xml:space="preserve">Building scale with networks + diversification (Indiana)</w:t>
      </w:r>
    </w:p>
    <w:p>
      <w:pPr>
        <w:pStyle w:val="FirstParagraph"/>
      </w:pPr>
      <w:r>
        <w:t xml:space="preserve">A first-generation Indiana farmer,</w:t>
      </w:r>
      <w:r>
        <w:t xml:space="preserve"> </w:t>
      </w:r>
      <w:r>
        <w:rPr>
          <w:bCs/>
          <w:b/>
        </w:rPr>
        <w:t xml:space="preserve">Mike Koehne</w:t>
      </w:r>
      <w:r>
        <w:t xml:space="preserve">, described building a</w:t>
      </w:r>
      <w:r>
        <w:t xml:space="preserve"> </w:t>
      </w:r>
      <w:r>
        <w:rPr>
          <w:bCs/>
          <w:b/>
        </w:rPr>
        <w:t xml:space="preserve">900-acre</w:t>
      </w:r>
      <w:r>
        <w:t xml:space="preserve"> </w:t>
      </w:r>
      <w:r>
        <w:t xml:space="preserve">operation from the ground up, pointing to the value of</w:t>
      </w:r>
      <w:r>
        <w:t xml:space="preserve"> </w:t>
      </w:r>
      <w:r>
        <w:rPr>
          <w:bCs/>
          <w:b/>
        </w:rPr>
        <w:t xml:space="preserve">mentorship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industry trade groups</w:t>
      </w:r>
      <w:r>
        <w:t xml:space="preserve">, and using</w:t>
      </w:r>
      <w:r>
        <w:t xml:space="preserve"> </w:t>
      </w:r>
      <w:r>
        <w:rPr>
          <w:bCs/>
          <w:b/>
        </w:rPr>
        <w:t xml:space="preserve">specialty crops</w:t>
      </w:r>
      <w:r>
        <w:t xml:space="preserve"> </w:t>
      </w:r>
      <w:r>
        <w:t xml:space="preserve">as part of shaping a sustainable future for the family farm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 The linked piece is framed around building a</w:t>
      </w:r>
      <w:r>
        <w:t xml:space="preserve"> </w:t>
      </w:r>
      <w:r>
        <w:rPr>
          <w:bCs/>
          <w:b/>
        </w:rPr>
        <w:t xml:space="preserve">global soybean business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bookmarkEnd w:id="45"/>
    <w:bookmarkStart w:id="51" w:name="Xfce2cf2d4156bf2cf553510aadcd18648745457"/>
    <w:p>
      <w:pPr>
        <w:pStyle w:val="Heading3"/>
      </w:pPr>
      <w:r>
        <w:t xml:space="preserve">Sustainability incentives: program expansion (Canadian Prairies) with farmer skepticism on net benefit</w:t>
      </w:r>
    </w:p>
    <w:p>
      <w:pPr>
        <w:pStyle w:val="FirstParagraph"/>
      </w:pPr>
      <w:r>
        <w:t xml:space="preserve">A Reddit-linked article reports</w:t>
      </w:r>
      <w:r>
        <w:t xml:space="preserve"> </w:t>
      </w:r>
      <w:r>
        <w:rPr>
          <w:bCs/>
          <w:b/>
        </w:rPr>
        <w:t xml:space="preserve">Nutrien</w:t>
      </w:r>
      <w:r>
        <w:t xml:space="preserve"> </w:t>
      </w:r>
      <w:r>
        <w:t xml:space="preserve">is growing its</w:t>
      </w:r>
      <w:r>
        <w:t xml:space="preserve"> </w:t>
      </w:r>
      <w:r>
        <w:rPr>
          <w:bCs/>
          <w:b/>
        </w:rPr>
        <w:t xml:space="preserve">sustainability incentive program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Prairie farmers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(Canada). A commenter questioned the economics, suggesting farmers may receive</w:t>
      </w:r>
      <w:r>
        <w:t xml:space="preserve"> </w:t>
      </w:r>
      <w:r>
        <w:t xml:space="preserve">“</w:t>
      </w:r>
      <w:r>
        <w:t xml:space="preserve">a couple bucks an acre back,</w:t>
      </w:r>
      <w:r>
        <w:t xml:space="preserve">”</w:t>
      </w:r>
      <w:r>
        <w:t xml:space="preserve"> </w:t>
      </w:r>
      <w:r>
        <w:t xml:space="preserve">but raised concern about potential hidden costs tied to participation and associated product purchases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Article link (as shared): https://www.producer.com/crops/nutrien-growing-sustainability-incentive-program-for-prairie-farmers/</w:t>
      </w:r>
      <w:r>
        <w:t xml:space="preserve"> </w:t>
      </w:r>
      <w:r>
        <w:rPr>
          <w:rStyle w:val="FootnoteReference"/>
        </w:rPr>
        <w:footnoteReference w:id="50"/>
      </w:r>
    </w:p>
    <w:bookmarkEnd w:id="51"/>
    <w:bookmarkEnd w:id="52"/>
    <w:bookmarkStart w:id="60" w:name="regional-developments"/>
    <w:p>
      <w:pPr>
        <w:pStyle w:val="Heading2"/>
      </w:pPr>
      <w:r>
        <w:t xml:space="preserve">Regional Developments</w:t>
      </w:r>
    </w:p>
    <w:bookmarkStart w:id="55" w:name="Xc4a355a7264877953579da65de1afeca055c185"/>
    <w:p>
      <w:pPr>
        <w:pStyle w:val="Heading3"/>
      </w:pPr>
      <w:r>
        <w:t xml:space="preserve">U.S. (Colorado): drought risk ahead of spring irrigation</w:t>
      </w:r>
    </w:p>
    <w:p>
      <w:pPr>
        <w:pStyle w:val="FirstParagraph"/>
      </w:pPr>
      <w:r>
        <w:t xml:space="preserve">A headline update flagged that</w:t>
      </w:r>
      <w:r>
        <w:t xml:space="preserve"> </w:t>
      </w:r>
      <w:r>
        <w:rPr>
          <w:bCs/>
          <w:b/>
        </w:rPr>
        <w:t xml:space="preserve">Colorado drought worsens ahead of spring irrigation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bookmarkEnd w:id="55"/>
    <w:bookmarkStart w:id="59" w:name="X49fb9fa8e41291cef3e25dc383d5baa910acb01"/>
    <w:p>
      <w:pPr>
        <w:pStyle w:val="Heading3"/>
      </w:pPr>
      <w:r>
        <w:t xml:space="preserve">Turkey (Seyhan River): flooding impacts mandarin orchards</w:t>
      </w:r>
    </w:p>
    <w:p>
      <w:pPr>
        <w:pStyle w:val="FirstParagraph"/>
      </w:pPr>
      <w:r>
        <w:t xml:space="preserve">Flooding along the</w:t>
      </w:r>
      <w:r>
        <w:t xml:space="preserve"> </w:t>
      </w:r>
      <w:r>
        <w:rPr>
          <w:bCs/>
          <w:b/>
        </w:rPr>
        <w:t xml:space="preserve">Seyhan River</w:t>
      </w:r>
      <w:r>
        <w:t xml:space="preserve"> </w:t>
      </w:r>
      <w:r>
        <w:t xml:space="preserve">was reported to have submerged</w:t>
      </w:r>
      <w:r>
        <w:t xml:space="preserve"> </w:t>
      </w:r>
      <w:r>
        <w:rPr>
          <w:bCs/>
          <w:b/>
        </w:rPr>
        <w:t xml:space="preserve">unharvested mandarin orchards</w:t>
      </w:r>
      <w:r>
        <w:t xml:space="preserve">, with expectations of fruit drop or</w:t>
      </w:r>
      <w:r>
        <w:t xml:space="preserve"> </w:t>
      </w:r>
      <w:r>
        <w:rPr>
          <w:bCs/>
          <w:b/>
        </w:rPr>
        <w:t xml:space="preserve">quality deterioration</w:t>
      </w:r>
      <w:r>
        <w:t xml:space="preserve"> </w:t>
      </w:r>
      <w:r>
        <w:t xml:space="preserve">despite prior investments in the trees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 The post also conveyed hope that excessive inflows to dam reservoirs ease and that the amount of water released into the riverbed declines, along with condolences to affected farmers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bookmarkEnd w:id="59"/>
    <w:bookmarkEnd w:id="60"/>
    <w:bookmarkStart w:id="67" w:name="best-practices"/>
    <w:p>
      <w:pPr>
        <w:pStyle w:val="Heading2"/>
      </w:pPr>
      <w:r>
        <w:t xml:space="preserve">Best Practices</w:t>
      </w:r>
    </w:p>
    <w:bookmarkStart w:id="63" w:name="Xb8ddbe435e91cd245127d79d518e6d7ea69080e"/>
    <w:p>
      <w:pPr>
        <w:pStyle w:val="Heading3"/>
      </w:pPr>
      <w:r>
        <w:t xml:space="preserve">Soil resilience: organic matter for water-holding capacity</w:t>
      </w:r>
    </w:p>
    <w:p>
      <w:pPr>
        <w:pStyle w:val="FirstParagraph"/>
      </w:pPr>
      <w:r>
        <w:t xml:space="preserve">A field-level reminder from Ag PhD: boosting</w:t>
      </w:r>
      <w:r>
        <w:t xml:space="preserve"> </w:t>
      </w:r>
      <w:r>
        <w:rPr>
          <w:bCs/>
          <w:b/>
        </w:rPr>
        <w:t xml:space="preserve">soil organic matter</w:t>
      </w:r>
      <w:r>
        <w:t xml:space="preserve"> </w:t>
      </w:r>
      <w:r>
        <w:t xml:space="preserve">was framed as improving soil health and increasing</w:t>
      </w:r>
      <w:r>
        <w:t xml:space="preserve"> </w:t>
      </w:r>
      <w:r>
        <w:rPr>
          <w:bCs/>
          <w:b/>
        </w:rPr>
        <w:t xml:space="preserve">water-holding capacity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3"/>
    <w:bookmarkStart w:id="66" w:name="X4c148b22281221b258a12487db798e450d73da4"/>
    <w:p>
      <w:pPr>
        <w:pStyle w:val="Heading3"/>
      </w:pPr>
      <w:r>
        <w:t xml:space="preserve">Seed risk management: cold germination testing</w:t>
      </w:r>
    </w:p>
    <w:p>
      <w:pPr>
        <w:pStyle w:val="FirstParagraph"/>
      </w:pPr>
      <w:r>
        <w:t xml:space="preserve">Ag PhD also recommended testing seed for</w:t>
      </w:r>
      <w:r>
        <w:t xml:space="preserve"> </w:t>
      </w:r>
      <w:r>
        <w:rPr>
          <w:bCs/>
          <w:b/>
        </w:rPr>
        <w:t xml:space="preserve">COLD germination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bookmarkEnd w:id="66"/>
    <w:bookmarkEnd w:id="67"/>
    <w:bookmarkStart w:id="71" w:name="input-markets"/>
    <w:p>
      <w:pPr>
        <w:pStyle w:val="Heading2"/>
      </w:pPr>
      <w:r>
        <w:t xml:space="preserve">Input Markets</w:t>
      </w:r>
    </w:p>
    <w:bookmarkStart w:id="70" w:name="Xc6baae2dc5f5dffe6215008dbb8309aa19935ae"/>
    <w:p>
      <w:pPr>
        <w:pStyle w:val="Heading3"/>
      </w:pPr>
      <w:r>
        <w:t xml:space="preserve">Incentive economics: evaluate</w:t>
      </w:r>
      <w:r>
        <w:t xml:space="preserve"> </w:t>
      </w:r>
      <w:r>
        <w:t xml:space="preserve">“</w:t>
      </w:r>
      <w:r>
        <w:t xml:space="preserve">per-acre</w:t>
      </w:r>
      <w:r>
        <w:t xml:space="preserve">”</w:t>
      </w:r>
      <w:r>
        <w:t xml:space="preserve"> </w:t>
      </w:r>
      <w:r>
        <w:t xml:space="preserve">sustainability payments against total program cost</w:t>
      </w:r>
    </w:p>
    <w:p>
      <w:pPr>
        <w:pStyle w:val="FirstParagraph"/>
      </w:pPr>
      <w:r>
        <w:t xml:space="preserve">In discussion of Nutrien’s expanded Prairie sustainability incentive program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, a farmer comment highlighted the need to scrutinize the full cost of participation—questioning whether</w:t>
      </w:r>
      <w:r>
        <w:t xml:space="preserve"> </w:t>
      </w:r>
      <w:r>
        <w:t xml:space="preserve">“</w:t>
      </w:r>
      <w:r>
        <w:t xml:space="preserve">a couple bucks an acre</w:t>
      </w:r>
      <w:r>
        <w:t xml:space="preserve">”</w:t>
      </w:r>
      <w:r>
        <w:t xml:space="preserve"> </w:t>
      </w:r>
      <w:r>
        <w:t xml:space="preserve">in returns may be offset by other expenses embedded in the program or related purchases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bookmarkEnd w:id="70"/>
    <w:bookmarkEnd w:id="71"/>
    <w:bookmarkStart w:id="80" w:name="forward-outlook"/>
    <w:p>
      <w:pPr>
        <w:pStyle w:val="Heading2"/>
      </w:pPr>
      <w:r>
        <w:t xml:space="preserve">Forward Outlook</w:t>
      </w:r>
    </w:p>
    <w:bookmarkStart w:id="75" w:name="X016f19c76fe26d874361bb0cc4c25c96a588d69"/>
    <w:p>
      <w:pPr>
        <w:pStyle w:val="Heading3"/>
      </w:pPr>
      <w:r>
        <w:t xml:space="preserve">Trade watch: soybeans and the next phase of U.S.–China frameworks</w:t>
      </w:r>
    </w:p>
    <w:p>
      <w:pPr>
        <w:pStyle w:val="FirstParagraph"/>
      </w:pPr>
      <w:r>
        <w:t xml:space="preserve">From the Farm Journal segment, the near-term planning issue is whether China uses the tariff ruling as leverage to adjust or exit recent frameworks or</w:t>
      </w:r>
      <w:r>
        <w:t xml:space="preserve"> </w:t>
      </w:r>
      <w:r>
        <w:rPr>
          <w:bCs/>
          <w:b/>
        </w:rPr>
        <w:t xml:space="preserve">soybean purchase commitments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, and whether the legal change reshapes negotiating leverage around other frameworks (noting many are non-binding)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The same coverage conveyed optimism that continued progress toward a truce is in the mutual interest of both countries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78" w:name="X7594ad34381f1cd6a00b3698b8656043d2fe516"/>
    <w:p>
      <w:pPr>
        <w:pStyle w:val="Heading3"/>
      </w:pPr>
      <w:r>
        <w:t xml:space="preserve">Seasonal water risk: irrigation constraints vs. flood impacts</w:t>
      </w:r>
    </w:p>
    <w:p>
      <w:pPr>
        <w:pStyle w:val="FirstParagraph"/>
      </w:pPr>
      <w:r>
        <w:t xml:space="preserve">Two contrasting regional signals to factor into operational planning: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Colorado</w:t>
      </w:r>
      <w:r>
        <w:t xml:space="preserve">: drought concerns heading into spring irrigation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Seyhan River (Turkey)</w:t>
      </w:r>
      <w:r>
        <w:t xml:space="preserve">: flooding-related crop quality risk for unharvested mandarins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8"/>
    <w:bookmarkStart w:id="7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r/farming comment by u/fdisfragameosoldiers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bookmarkEnd w:id="79"/>
    <w:bookmarkEnd w:id="80"/>
    <w:bookmarkEnd w:id="8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r/farming post by u/MennoniteDan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r/farming comment by u/fdisfragameosoldiers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r/farming post by u/MennoniteDan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r/farming post by u/MennoniteDan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r/farming comment by u/fdisfragameosoldiers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U.S. Supreme Court Strikes Down Several of President Trump’s Tariffs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47" Target="https://www.reddit.com/r/farming/comments/1rbbcqa/" TargetMode="External" /><Relationship Type="http://schemas.openxmlformats.org/officeDocument/2006/relationships/hyperlink" Id="rId49" Target="https://www.reddit.com/r/farming/comments/1rbbcqa/comment/o6pt0yw/" TargetMode="External" /><Relationship Type="http://schemas.openxmlformats.org/officeDocument/2006/relationships/hyperlink" Id="rId21" Target="https://www.youtube.com/watch?v=TABlT2s8S6I" TargetMode="External" /><Relationship Type="http://schemas.openxmlformats.org/officeDocument/2006/relationships/hyperlink" Id="rId65" Target="https://x.com/AgPhDMedia/status/2025239091038605510" TargetMode="External" /><Relationship Type="http://schemas.openxmlformats.org/officeDocument/2006/relationships/hyperlink" Id="rId62" Target="https://x.com/AgPhDMedia/status/2025374982717788459" TargetMode="External" /><Relationship Type="http://schemas.openxmlformats.org/officeDocument/2006/relationships/hyperlink" Id="rId32" Target="https://x.com/SuccessfulFarm/status/2025088134564704692" TargetMode="External" /><Relationship Type="http://schemas.openxmlformats.org/officeDocument/2006/relationships/hyperlink" Id="rId54" Target="https://x.com/SuccessfulFarm/status/2025178723184484767" TargetMode="External" /><Relationship Type="http://schemas.openxmlformats.org/officeDocument/2006/relationships/hyperlink" Id="rId43" Target="https://x.com/SuccessfulFarm/status/2025254291233968388" TargetMode="External" /><Relationship Type="http://schemas.openxmlformats.org/officeDocument/2006/relationships/hyperlink" Id="rId39" Target="https://x.com/SuccessfulFarm/status/2025284452268868047" TargetMode="External" /><Relationship Type="http://schemas.openxmlformats.org/officeDocument/2006/relationships/hyperlink" Id="rId36" Target="https://x.com/SuccessfulFarm/status/2025299530594275830" TargetMode="External" /><Relationship Type="http://schemas.openxmlformats.org/officeDocument/2006/relationships/hyperlink" Id="rId57" Target="https://x.com/mutludogru01/status/2025145726607544347" TargetMode="External" /><Relationship Type="http://schemas.openxmlformats.org/officeDocument/2006/relationships/hyperlink" Id="rId29" Target="https://youtube.com/watch?v=TABlT2s8S6I&amp;t=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www.reddit.com/r/farming/comments/1rbbcqa/" TargetMode="External" /><Relationship Type="http://schemas.openxmlformats.org/officeDocument/2006/relationships/hyperlink" Id="rId49" Target="https://www.reddit.com/r/farming/comments/1rbbcqa/comment/o6pt0yw/" TargetMode="External" /><Relationship Type="http://schemas.openxmlformats.org/officeDocument/2006/relationships/hyperlink" Id="rId21" Target="https://www.youtube.com/watch?v=TABlT2s8S6I" TargetMode="External" /><Relationship Type="http://schemas.openxmlformats.org/officeDocument/2006/relationships/hyperlink" Id="rId65" Target="https://x.com/AgPhDMedia/status/2025239091038605510" TargetMode="External" /><Relationship Type="http://schemas.openxmlformats.org/officeDocument/2006/relationships/hyperlink" Id="rId62" Target="https://x.com/AgPhDMedia/status/2025374982717788459" TargetMode="External" /><Relationship Type="http://schemas.openxmlformats.org/officeDocument/2006/relationships/hyperlink" Id="rId32" Target="https://x.com/SuccessfulFarm/status/2025088134564704692" TargetMode="External" /><Relationship Type="http://schemas.openxmlformats.org/officeDocument/2006/relationships/hyperlink" Id="rId54" Target="https://x.com/SuccessfulFarm/status/2025178723184484767" TargetMode="External" /><Relationship Type="http://schemas.openxmlformats.org/officeDocument/2006/relationships/hyperlink" Id="rId43" Target="https://x.com/SuccessfulFarm/status/2025254291233968388" TargetMode="External" /><Relationship Type="http://schemas.openxmlformats.org/officeDocument/2006/relationships/hyperlink" Id="rId39" Target="https://x.com/SuccessfulFarm/status/2025284452268868047" TargetMode="External" /><Relationship Type="http://schemas.openxmlformats.org/officeDocument/2006/relationships/hyperlink" Id="rId36" Target="https://x.com/SuccessfulFarm/status/2025299530594275830" TargetMode="External" /><Relationship Type="http://schemas.openxmlformats.org/officeDocument/2006/relationships/hyperlink" Id="rId57" Target="https://x.com/mutludogru01/status/2025145726607544347" TargetMode="External" /><Relationship Type="http://schemas.openxmlformats.org/officeDocument/2006/relationships/hyperlink" Id="rId29" Target="https://youtube.com/watch?v=TABlT2s8S6I&amp;t=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 shifts and new market access: Supreme Court ruling, Indonesia deal, and weather-driven regional risk</dc:title>
  <dc:creator>Global Agricultural Developments</dc:creator>
  <cp:keywords/>
  <dcterms:created xsi:type="dcterms:W3CDTF">2026-02-22T22:24:51Z</dcterms:created>
  <dcterms:modified xsi:type="dcterms:W3CDTF">2026-02-22T22:24:51Z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2026-02-22</vt:lpwstr>
  </property>
</Properties>
</file>