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AI Race Moves Into the Agent Control Plane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2026-09-18</w:t>
      </w:r>
    </w:p>
    <w:bookmarkStart w:id="47" w:name="X0dcedec6537eced14a48237439e8d5c1312fad9"/>
    <w:p>
      <w:pPr>
        <w:pStyle w:val="Heading1"/>
      </w:pPr>
      <w:r>
        <w:t xml:space="preserve">The AI Race Moves Into the Agent Control Plane</w:t>
      </w:r>
    </w:p>
    <w:p>
      <w:pPr>
        <w:pStyle w:val="FirstParagraph"/>
      </w:pPr>
      <w:r>
        <w:rPr>
          <w:iCs/>
          <w:i/>
        </w:rPr>
        <w:t xml:space="preserve">By AI High Signal Digest • September 18, 2026</w:t>
      </w:r>
    </w:p>
    <w:p>
      <w:pPr>
        <w:pStyle w:val="BodyText"/>
      </w:pPr>
      <w:r>
        <w:t xml:space="preserve">A reported OpenAI account compromise, Anthropic’s new measurements of AI-led R&amp;D, and a wave of persistent agent platforms show competition shifting toward access, verification, and operating infrastructure.</w:t>
      </w:r>
    </w:p>
    <w:bookmarkStart w:id="20" w:name="top-stories"/>
    <w:p>
      <w:pPr>
        <w:pStyle w:val="Heading2"/>
      </w:pPr>
      <w:r>
        <w:t xml:space="preserve">Top Stories</w:t>
      </w:r>
    </w:p>
    <w:p>
      <w:pPr>
        <w:pStyle w:val="FirstParagraph"/>
      </w:pPr>
      <w:r>
        <w:rPr>
          <w:iCs/>
          <w:i/>
        </w:rPr>
        <w:t xml:space="preserve">Why it matters: The frontier is becoming the control plane around models—identity, tools, and feedback loops—not just model weights.</w:t>
      </w:r>
    </w:p>
    <w:p>
      <w:pPr>
        <w:pStyle w:val="BodyText"/>
      </w:pPr>
      <w:r>
        <w:rPr>
          <w:bCs/>
          <w:b/>
        </w:rPr>
        <w:t xml:space="preserve">A security disclosure links an OpenAI account compromise to ordinary web vulnerabilities.</w:t>
      </w:r>
      <w:r>
        <w:t xml:space="preserve"> </w:t>
      </w:r>
      <w:r>
        <w:t xml:space="preserve">Its authors say two bugs enabled takeover of employee and some unaffiliated ChatGPT/Codex accounts, access to Outlook, Slack, and GitHub, and a test pull request in OpenAI’s internal codebase in under 72 hours. [1] The reported chain ran from HEIC/HEIF upload and a libheif heap overflow to remote code execution, an SSO flaw, and connected GitHub access. OpenAI fixed the SSO issue about 14 hours after notification and paid $6,500. [2, 3]</w:t>
      </w:r>
    </w:p>
    <w:p>
      <w:pPr>
        <w:pStyle w:val="BodyText"/>
      </w:pPr>
      <w:r>
        <w:rPr>
          <w:bCs/>
          <w:b/>
        </w:rPr>
        <w:t xml:space="preserve">Anthropic put numbers around AI-assisted R&amp;D.</w:t>
      </w:r>
      <w:r>
        <w:t xml:space="preserve"> </w:t>
      </w:r>
      <w:r>
        <w:t xml:space="preserve">It published three measures—how much AI performs AI R&amp;D, how well agents are overseen, and how compute is allocated—and said other labs could publish comparable figures for third-party verification. [4] Anthropic’s internal snapshot says Claude-led model-R&amp;D tasks rose from 1% to 26% in six months, Claude collaborated on or led more than 90% of model R&amp;D, and about 30,000 agents worked on research and engineering at a time. [5] The immediate value is a repeatable disclosure baseline, not independent validation.</w:t>
      </w:r>
    </w:p>
    <w:bookmarkEnd w:id="20"/>
    <w:bookmarkStart w:id="21" w:name="research-innovation"/>
    <w:p>
      <w:pPr>
        <w:pStyle w:val="Heading2"/>
      </w:pPr>
      <w:r>
        <w:t xml:space="preserve">Research &amp; Innovation</w:t>
      </w:r>
    </w:p>
    <w:p>
      <w:pPr>
        <w:pStyle w:val="FirstParagraph"/>
      </w:pPr>
      <w:r>
        <w:rPr>
          <w:iCs/>
          <w:i/>
        </w:rPr>
        <w:t xml:space="preserve">Why it matters: Evaluation is moving from one-shot answers to sustained change and verification.</w:t>
      </w:r>
    </w:p>
    <w:p>
      <w:pPr>
        <w:pStyle w:val="BodyText"/>
      </w:pPr>
      <w:r>
        <w:rPr>
          <w:bCs/>
          <w:b/>
        </w:rPr>
        <w:t xml:space="preserve">Vibe Code Bench 1–100 tests software maintenance.</w:t>
      </w:r>
      <w:r>
        <w:t xml:space="preserve"> </w:t>
      </w:r>
      <w:r>
        <w:t xml:space="preserve">ValsAI gives a model a working web app and up to ten plain-English feature, bug-fix, or database-migration requests; each iteration must preserve prior behavior, and the first failure ends the run. [6, 7] No model passed 30%; the top three were 8–30× more expensive than GPT Luna, while Fable 5.1 averaged $150 per test. 39% of failures broke existing functionality. [8, 9]</w:t>
      </w:r>
    </w:p>
    <w:p>
      <w:pPr>
        <w:pStyle w:val="BodyText"/>
      </w:pPr>
      <w:r>
        <w:rPr>
          <w:bCs/>
          <w:b/>
        </w:rPr>
        <w:t xml:space="preserve">Stellar Colosseum targets long-horizon mathematical research.</w:t>
      </w:r>
      <w:r>
        <w:t xml:space="preserve"> </w:t>
      </w:r>
      <w:r>
        <w:t xml:space="preserve">Its technical report describes a model-agnostic workflow separating strategy exploration, proof decomposition, subproblem solving, and global verification. It reports a 4,263 Codeforces score versus a cited human high of 4,059, 71.0% on TCS-Bench, and integration into Google Antigravity as the</w:t>
      </w:r>
      <w:r>
        <w:t xml:space="preserve"> </w:t>
      </w:r>
      <w:r>
        <w:t xml:space="preserve">“</w:t>
      </w:r>
      <w:r>
        <w:t xml:space="preserve">Long Proof</w:t>
      </w:r>
      <w:r>
        <w:t xml:space="preserve">”</w:t>
      </w:r>
      <w:r>
        <w:t xml:space="preserve"> </w:t>
      </w:r>
      <w:r>
        <w:t xml:space="preserve">pattern. [10]</w:t>
      </w:r>
    </w:p>
    <w:bookmarkEnd w:id="21"/>
    <w:bookmarkStart w:id="22" w:name="products-launches"/>
    <w:p>
      <w:pPr>
        <w:pStyle w:val="Heading2"/>
      </w:pPr>
      <w:r>
        <w:t xml:space="preserve">Products &amp; Launches</w:t>
      </w:r>
    </w:p>
    <w:p>
      <w:pPr>
        <w:pStyle w:val="FirstParagraph"/>
      </w:pPr>
      <w:r>
        <w:rPr>
          <w:iCs/>
          <w:i/>
        </w:rPr>
        <w:t xml:space="preserve">Why it matters: Commercial agents are becoming persistent runtimes with controlled access to tools and data.</w:t>
      </w:r>
    </w:p>
    <w:p>
      <w:pPr>
        <w:pStyle w:val="BodyText"/>
      </w:pPr>
      <w:r>
        <w:rPr>
          <w:bCs/>
          <w:b/>
        </w:rPr>
        <w:t xml:space="preserve">Google updated Gemini managed agents</w:t>
      </w:r>
      <w:r>
        <w:t xml:space="preserve"> </w:t>
      </w:r>
      <w:r>
        <w:t xml:space="preserve">with a configurable Gemini 3.8 Flash runtime, persistent isolated Linux sandboxes, code, file, and web tools, plus Files and Credentials APIs. [11] Google reports 7% higher cache hits on multi-turn coding/research tasks, 16% on long question-answering runs, 40% fewer output tokens for file edits, and up to roughly 8% higher task completion in internal evaluations. Credentials stay out of model context and are filtered by an egress proxy. [11]</w:t>
      </w:r>
    </w:p>
    <w:p>
      <w:pPr>
        <w:pStyle w:val="BodyText"/>
      </w:pPr>
      <w:r>
        <w:rPr>
          <w:bCs/>
          <w:b/>
        </w:rPr>
        <w:t xml:space="preserve">OpenAI launched Astra for Law</w:t>
      </w:r>
      <w:r>
        <w:t xml:space="preserve"> </w:t>
      </w:r>
      <w:r>
        <w:t xml:space="preserve">with GPT-6 Astra, a legal-search index covering more than 230 million URLs, and firm-built workflows; selected firms get access first, with an API planned. [12, 13, 14] On OpenAI’s self-reported Vals runs, it scored 90.0% versus 84.1% for GPT-6 Astra with web search, and 53.7% versus 39.6% on an all-pass measure. [15]</w:t>
      </w:r>
    </w:p>
    <w:bookmarkEnd w:id="22"/>
    <w:bookmarkStart w:id="23" w:name="industry-moves"/>
    <w:p>
      <w:pPr>
        <w:pStyle w:val="Heading2"/>
      </w:pPr>
      <w:r>
        <w:t xml:space="preserve">Industry Moves</w:t>
      </w:r>
    </w:p>
    <w:p>
      <w:pPr>
        <w:pStyle w:val="FirstParagraph"/>
      </w:pPr>
      <w:r>
        <w:rPr>
          <w:iCs/>
          <w:i/>
        </w:rPr>
        <w:t xml:space="preserve">Why it matters: Capital and hardware roadmaps are following deployment bottlenecks.</w:t>
      </w:r>
    </w:p>
    <w:p>
      <w:pPr>
        <w:pStyle w:val="BodyText"/>
      </w:pPr>
      <w:r>
        <w:rPr>
          <w:bCs/>
          <w:b/>
        </w:rPr>
        <w:t xml:space="preserve">Huawei’s Ascend roadmap reportedly accelerated.</w:t>
      </w:r>
      <w:r>
        <w:t xml:space="preserve"> </w:t>
      </w:r>
      <w:r>
        <w:t xml:space="preserve">The Ascend 960DT moved from Q4 2027 to Q1 2027 and is described as doubling compute, memory bandwidth, memory capacity, and interconnect ports versus the 950. The same account flags a 4,096-chip 960 SuperPoD versus an earlier 15,488-chip plan, leaving system-scale execution unresolved. [16]</w:t>
      </w:r>
    </w:p>
    <w:p>
      <w:pPr>
        <w:pStyle w:val="BodyText"/>
      </w:pPr>
      <w:r>
        <w:rPr>
          <w:bCs/>
          <w:b/>
        </w:rPr>
        <w:t xml:space="preserve">Arcee AI crossed a $1 billion valuation</w:t>
      </w:r>
      <w:r>
        <w:t xml:space="preserve"> </w:t>
      </w:r>
      <w:r>
        <w:t xml:space="preserve">in a Series B aimed at accelerating Trinity models, expanding DOE and national-lab work on Genesis-Science-1, and building a production platform for open models. [17]</w:t>
      </w:r>
    </w:p>
    <w:bookmarkEnd w:id="23"/>
    <w:bookmarkStart w:id="46" w:name="quick-takes"/>
    <w:p>
      <w:pPr>
        <w:pStyle w:val="Heading2"/>
      </w:pPr>
      <w:r>
        <w:t xml:space="preserve">Quick Takes</w:t>
      </w:r>
    </w:p>
    <w:p>
      <w:pPr>
        <w:pStyle w:val="FirstParagraph"/>
      </w:pPr>
      <w:r>
        <w:rPr>
          <w:iCs/>
          <w:i/>
        </w:rPr>
        <w:t xml:space="preserve">Why it matters: Cost, benchmark quality, and coordination are now deployment constraints.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Qwen3.8-Omni-Flash:</w:t>
      </w:r>
      <w:r>
        <w:t xml:space="preserve"> </w:t>
      </w:r>
      <w:r>
        <w:t xml:space="preserve">Qwen’s first omni-modal agentic model combines audio-video understanding, reasoning, and tool use; Qwen claims a 19.5-point average gain on two agent benchmarks, 1M-token context, 51.8% fewer tokens for long-video understanding, and 89% lower video-input cost. [18]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Benchmark hygiene:</w:t>
      </w:r>
      <w:r>
        <w:t xml:space="preserve"> </w:t>
      </w:r>
      <w:r>
        <w:t xml:space="preserve">Epoch’s first 15 reviews classified 4 benchmarks as verified, 9 flawed, and 2 lacking enough information; it found 23 false negatives among 131 DeepSWE tasks, implying a roughly 79.6% artificial ceiling. [19, 20]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Multi-agent safety:</w:t>
      </w:r>
      <w:r>
        <w:t xml:space="preserve"> </w:t>
      </w:r>
      <w:r>
        <w:t xml:space="preserve">A paper summary reports harm rising from 0–5% to 40–95% after agents received unsafe trajectories from peers. The authors say natural cascade frequency is unknown, but defenses must cover handoffs and recovery. [21]</w:t>
      </w:r>
    </w:p>
    <w:p>
      <w:r>
        <w:pict>
          <v:rect style="width:0;height:1.5pt" o:hralign="center" o:hrstd="t" o:hr="t"/>
        </w:pict>
      </w:r>
    </w:p>
    <w:bookmarkStart w:id="45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@S1r1u5_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@S1r1u5_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@S1r1u5_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@AnthropicAI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@mirrokni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@GoogleAIStudio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@ruima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@arcee_ai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@Alibaba_Qwen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@EpochAIResearch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@nrehiew_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@dair_ai</w:t>
        </w:r>
      </w:hyperlink>
    </w:p>
    <w:bookmarkEnd w:id="45"/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https://x.com/Alibaba_Qwen/status/2100785962414702599" TargetMode="External" /><Relationship Type="http://schemas.openxmlformats.org/officeDocument/2006/relationships/hyperlink" Id="rId27" Target="https://x.com/AnthropicAI/status/2100684274114699295" TargetMode="External" /><Relationship Type="http://schemas.openxmlformats.org/officeDocument/2006/relationships/hyperlink" Id="rId42" Target="https://x.com/EpochAIResearch/status/2100704765332394255" TargetMode="External" /><Relationship Type="http://schemas.openxmlformats.org/officeDocument/2006/relationships/hyperlink" Id="rId35" Target="https://x.com/OpenAI/status/2100679994305630562" TargetMode="External" /><Relationship Type="http://schemas.openxmlformats.org/officeDocument/2006/relationships/hyperlink" Id="rId36" Target="https://x.com/OpenAI/status/2100679996633452747" TargetMode="External" /><Relationship Type="http://schemas.openxmlformats.org/officeDocument/2006/relationships/hyperlink" Id="rId37" Target="https://x.com/OpenAI/status/2100680000072773702" TargetMode="External" /><Relationship Type="http://schemas.openxmlformats.org/officeDocument/2006/relationships/hyperlink" Id="rId24" Target="https://x.com/S1r1u5_/status/2100777801335095383" TargetMode="External" /><Relationship Type="http://schemas.openxmlformats.org/officeDocument/2006/relationships/hyperlink" Id="rId25" Target="https://x.com/S1r1u5_/status/2100777806045327372" TargetMode="External" /><Relationship Type="http://schemas.openxmlformats.org/officeDocument/2006/relationships/hyperlink" Id="rId26" Target="https://x.com/S1r1u5_/status/2100777825951433200" TargetMode="External" /><Relationship Type="http://schemas.openxmlformats.org/officeDocument/2006/relationships/hyperlink" Id="rId29" Target="https://x.com/ValsAI/status/2100676214403088478" TargetMode="External" /><Relationship Type="http://schemas.openxmlformats.org/officeDocument/2006/relationships/hyperlink" Id="rId30" Target="https://x.com/ValsAI/status/2100676216571547652" TargetMode="External" /><Relationship Type="http://schemas.openxmlformats.org/officeDocument/2006/relationships/hyperlink" Id="rId31" Target="https://x.com/ValsAI/status/2100676219272597686" TargetMode="External" /><Relationship Type="http://schemas.openxmlformats.org/officeDocument/2006/relationships/hyperlink" Id="rId32" Target="https://x.com/ValsAI/status/2100676221487219185" TargetMode="External" /><Relationship Type="http://schemas.openxmlformats.org/officeDocument/2006/relationships/hyperlink" Id="rId38" Target="https://x.com/ValsAI/status/2100714091845497092" TargetMode="External" /><Relationship Type="http://schemas.openxmlformats.org/officeDocument/2006/relationships/hyperlink" Id="rId40" Target="https://x.com/arcee_ai/status/2100230847907459094" TargetMode="External" /><Relationship Type="http://schemas.openxmlformats.org/officeDocument/2006/relationships/hyperlink" Id="rId44" Target="https://x.com/dair_ai/status/2100695797847466435" TargetMode="External" /><Relationship Type="http://schemas.openxmlformats.org/officeDocument/2006/relationships/hyperlink" Id="rId34" Target="https://x.com/i/article/2099964776117899264" TargetMode="External" /><Relationship Type="http://schemas.openxmlformats.org/officeDocument/2006/relationships/hyperlink" Id="rId28" Target="https://x.com/kimmonismus/status/2100703850630205949" TargetMode="External" /><Relationship Type="http://schemas.openxmlformats.org/officeDocument/2006/relationships/hyperlink" Id="rId33" Target="https://x.com/mirrokni/status/2100660772393320476" TargetMode="External" /><Relationship Type="http://schemas.openxmlformats.org/officeDocument/2006/relationships/hyperlink" Id="rId43" Target="https://x.com/nrehiew_/status/2100716134261744089" TargetMode="External" /><Relationship Type="http://schemas.openxmlformats.org/officeDocument/2006/relationships/hyperlink" Id="rId39" Target="https://x.com/ruima/status/21004870773183369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x.com/Alibaba_Qwen/status/2100785962414702599" TargetMode="External" /><Relationship Type="http://schemas.openxmlformats.org/officeDocument/2006/relationships/hyperlink" Id="rId27" Target="https://x.com/AnthropicAI/status/2100684274114699295" TargetMode="External" /><Relationship Type="http://schemas.openxmlformats.org/officeDocument/2006/relationships/hyperlink" Id="rId42" Target="https://x.com/EpochAIResearch/status/2100704765332394255" TargetMode="External" /><Relationship Type="http://schemas.openxmlformats.org/officeDocument/2006/relationships/hyperlink" Id="rId35" Target="https://x.com/OpenAI/status/2100679994305630562" TargetMode="External" /><Relationship Type="http://schemas.openxmlformats.org/officeDocument/2006/relationships/hyperlink" Id="rId36" Target="https://x.com/OpenAI/status/2100679996633452747" TargetMode="External" /><Relationship Type="http://schemas.openxmlformats.org/officeDocument/2006/relationships/hyperlink" Id="rId37" Target="https://x.com/OpenAI/status/2100680000072773702" TargetMode="External" /><Relationship Type="http://schemas.openxmlformats.org/officeDocument/2006/relationships/hyperlink" Id="rId24" Target="https://x.com/S1r1u5_/status/2100777801335095383" TargetMode="External" /><Relationship Type="http://schemas.openxmlformats.org/officeDocument/2006/relationships/hyperlink" Id="rId25" Target="https://x.com/S1r1u5_/status/2100777806045327372" TargetMode="External" /><Relationship Type="http://schemas.openxmlformats.org/officeDocument/2006/relationships/hyperlink" Id="rId26" Target="https://x.com/S1r1u5_/status/2100777825951433200" TargetMode="External" /><Relationship Type="http://schemas.openxmlformats.org/officeDocument/2006/relationships/hyperlink" Id="rId29" Target="https://x.com/ValsAI/status/2100676214403088478" TargetMode="External" /><Relationship Type="http://schemas.openxmlformats.org/officeDocument/2006/relationships/hyperlink" Id="rId30" Target="https://x.com/ValsAI/status/2100676216571547652" TargetMode="External" /><Relationship Type="http://schemas.openxmlformats.org/officeDocument/2006/relationships/hyperlink" Id="rId31" Target="https://x.com/ValsAI/status/2100676219272597686" TargetMode="External" /><Relationship Type="http://schemas.openxmlformats.org/officeDocument/2006/relationships/hyperlink" Id="rId32" Target="https://x.com/ValsAI/status/2100676221487219185" TargetMode="External" /><Relationship Type="http://schemas.openxmlformats.org/officeDocument/2006/relationships/hyperlink" Id="rId38" Target="https://x.com/ValsAI/status/2100714091845497092" TargetMode="External" /><Relationship Type="http://schemas.openxmlformats.org/officeDocument/2006/relationships/hyperlink" Id="rId40" Target="https://x.com/arcee_ai/status/2100230847907459094" TargetMode="External" /><Relationship Type="http://schemas.openxmlformats.org/officeDocument/2006/relationships/hyperlink" Id="rId44" Target="https://x.com/dair_ai/status/2100695797847466435" TargetMode="External" /><Relationship Type="http://schemas.openxmlformats.org/officeDocument/2006/relationships/hyperlink" Id="rId34" Target="https://x.com/i/article/2099964776117899264" TargetMode="External" /><Relationship Type="http://schemas.openxmlformats.org/officeDocument/2006/relationships/hyperlink" Id="rId28" Target="https://x.com/kimmonismus/status/2100703850630205949" TargetMode="External" /><Relationship Type="http://schemas.openxmlformats.org/officeDocument/2006/relationships/hyperlink" Id="rId33" Target="https://x.com/mirrokni/status/2100660772393320476" TargetMode="External" /><Relationship Type="http://schemas.openxmlformats.org/officeDocument/2006/relationships/hyperlink" Id="rId43" Target="https://x.com/nrehiew_/status/2100716134261744089" TargetMode="External" /><Relationship Type="http://schemas.openxmlformats.org/officeDocument/2006/relationships/hyperlink" Id="rId39" Target="https://x.com/ruima/status/21004870773183369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AI Race Moves Into the Agent Control Plane</dc:title>
  <dc:creator>AI High Signal Digest</dc:creator>
  <cp:keywords/>
  <dcterms:created xsi:type="dcterms:W3CDTF">2026-09-18T09:44:36Z</dcterms:created>
  <dcterms:modified xsi:type="dcterms:W3CDTF">2026-09-18T09:44:36Z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2026-09-18</vt:lpwstr>
  </property>
</Properties>
</file>