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strongest new read is an engineering rebuttal to AI-extinction claims</w:t>
      </w:r>
    </w:p>
    <w:p>
      <w:pPr>
        <w:pStyle w:val="Author"/>
      </w:pPr>
      <w:r>
        <w:t xml:space="preserve">Recommended Reading from Tech Founders</w:t>
      </w:r>
    </w:p>
    <w:p>
      <w:pPr>
        <w:pStyle w:val="Date"/>
      </w:pPr>
      <w:r>
        <w:t xml:space="preserve">2026-09-14</w:t>
      </w:r>
    </w:p>
    <w:bookmarkStart w:id="36" w:name="Xecfa64d47a23399f1f5d075aec66ac36d7f96f4"/>
    <w:p>
      <w:pPr>
        <w:pStyle w:val="Heading1"/>
      </w:pPr>
      <w:r>
        <w:t xml:space="preserve">The strongest new read is an engineering rebuttal to AI-extinction claims</w:t>
      </w:r>
    </w:p>
    <w:p>
      <w:pPr>
        <w:pStyle w:val="FirstParagraph"/>
      </w:pPr>
      <w:r>
        <w:rPr>
          <w:iCs/>
          <w:i/>
        </w:rPr>
        <w:t xml:space="preserve">By Recommended Reading from Tech Founders • September 14, 2026</w:t>
      </w:r>
    </w:p>
    <w:p>
      <w:pPr>
        <w:pStyle w:val="BodyText"/>
      </w:pPr>
      <w:r>
        <w:t xml:space="preserve">Martin Casado’s unambiguous endorsement of</w:t>
      </w:r>
      <w:r>
        <w:t xml:space="preserve"> </w:t>
      </w:r>
      <w:r>
        <w:rPr>
          <w:iCs/>
          <w:i/>
        </w:rPr>
        <w:t xml:space="preserve">The Contagion of Fear</w:t>
      </w:r>
      <w:r>
        <w:t xml:space="preserve"> </w:t>
      </w:r>
      <w:r>
        <w:t xml:space="preserve">leads four organic recommendations on AI risk, frontier regulation, antitrust, and the provenance of online policy debates.</w:t>
      </w:r>
    </w:p>
    <w:p>
      <w:pPr>
        <w:pStyle w:val="BodyText"/>
      </w:pPr>
      <w:r>
        <w:t xml:space="preserve">The four strongest picks form a coherent stack: a long-form rebuttal to extinction claims, a policy map, an antitrust argument, and a data-provenance check. Start with</w:t>
      </w:r>
      <w:r>
        <w:t xml:space="preserve"> </w:t>
      </w:r>
      <w:r>
        <w:rPr>
          <w:iCs/>
          <w:i/>
        </w:rPr>
        <w:t xml:space="preserve">The Contagion of Fear</w:t>
      </w:r>
      <w:r>
        <w:t xml:space="preserve">, which Martin Casado called</w:t>
      </w:r>
      <w:r>
        <w:t xml:space="preserve"> </w:t>
      </w:r>
      <w:r>
        <w:t xml:space="preserve">“</w:t>
      </w:r>
      <w:r>
        <w:t xml:space="preserve">Exceptional. Please read.</w:t>
      </w:r>
      <w:r>
        <w:t xml:space="preserve">”</w:t>
      </w:r>
      <w:r>
        <w:t xml:space="preserve"> </w:t>
      </w:r>
      <w:r>
        <w:t xml:space="preserve">[1]</w:t>
      </w:r>
    </w:p>
    <w:bookmarkStart w:id="21" w:name="start-with-the-contagion-of-fear"/>
    <w:p>
      <w:pPr>
        <w:pStyle w:val="Heading2"/>
      </w:pPr>
      <w:r>
        <w:t xml:space="preserve">Start with</w:t>
      </w:r>
      <w:r>
        <w:t xml:space="preserve"> </w:t>
      </w:r>
      <w:hyperlink r:id="rId20">
        <w:r>
          <w:rPr>
            <w:rStyle w:val="Hyperlink"/>
            <w:iCs/>
            <w:i/>
          </w:rPr>
          <w:t xml:space="preserve">The Contagion of Fear</w:t>
        </w:r>
      </w:hyperlink>
    </w:p>
    <w:p>
      <w:pPr>
        <w:numPr>
          <w:ilvl w:val="0"/>
          <w:numId w:val="1001"/>
        </w:numPr>
        <w:pStyle w:val="Compact"/>
      </w:pPr>
      <w:r>
        <w:rPr>
          <w:bCs/>
          <w:b/>
        </w:rPr>
        <w:t xml:space="preserve">Type / creator:</w:t>
      </w:r>
      <w:r>
        <w:t xml:space="preserve"> </w:t>
      </w:r>
      <w:r>
        <w:t xml:space="preserve">Blog post by</w:t>
      </w:r>
      <w:r>
        <w:t xml:space="preserve"> </w:t>
      </w:r>
      <w:r>
        <w:rPr>
          <w:bCs/>
          <w:b/>
        </w:rPr>
        <w:t xml:space="preserve">@bcantrill</w:t>
      </w:r>
      <w:r>
        <w:t xml:space="preserve">. [2]</w:t>
      </w:r>
    </w:p>
    <w:p>
      <w:pPr>
        <w:numPr>
          <w:ilvl w:val="0"/>
          <w:numId w:val="1001"/>
        </w:numPr>
        <w:pStyle w:val="Compact"/>
      </w:pPr>
      <w:r>
        <w:rPr>
          <w:bCs/>
          <w:b/>
        </w:rPr>
        <w:t xml:space="preserve">Recommended by:</w:t>
      </w:r>
      <w:r>
        <w:t xml:space="preserve"> </w:t>
      </w:r>
      <w:r>
        <w:rPr>
          <w:bCs/>
          <w:b/>
        </w:rPr>
        <w:t xml:space="preserve">Martin Casado</w:t>
      </w:r>
      <w:r>
        <w:t xml:space="preserve">, with the unqualified endorsement above. [1]</w:t>
      </w:r>
    </w:p>
    <w:p>
      <w:pPr>
        <w:numPr>
          <w:ilvl w:val="0"/>
          <w:numId w:val="1001"/>
        </w:numPr>
        <w:pStyle w:val="Compact"/>
      </w:pPr>
      <w:r>
        <w:rPr>
          <w:bCs/>
          <w:b/>
        </w:rPr>
        <w:t xml:space="preserve">Key takeaway:</w:t>
      </w:r>
      <w:r>
        <w:t xml:space="preserve"> </w:t>
      </w:r>
      <w:r>
        <w:t xml:space="preserve">Using a confession about a fake computer-virus warning, the author argues that fear can take root and outrun correction. [3] The rebuttal then asks readers to demand evidence proportional to extraordinary extinction claims and argues, from an engineering perspective, that intelligence alone is not enough: physical-world action, human-designed systems, accountability, and control still matter. [3] The extinction claims being rebutted are explicitly attributed to other people, so this is a skeptical argument—not an independent risk estimate. [3]</w:t>
      </w:r>
    </w:p>
    <w:p>
      <w:pPr>
        <w:numPr>
          <w:ilvl w:val="0"/>
          <w:numId w:val="1001"/>
        </w:numPr>
        <w:pStyle w:val="Compact"/>
      </w:pPr>
      <w:r>
        <w:rPr>
          <w:bCs/>
          <w:b/>
        </w:rPr>
        <w:t xml:space="preserve">Why it matters:</w:t>
      </w:r>
      <w:r>
        <w:t xml:space="preserve"> </w:t>
      </w:r>
      <w:r>
        <w:t xml:space="preserve">It supplies a reusable test for AI-risk rhetoric: follow the proposed mechanism into the physical world and ask whether the evidence matches the claim, rather than treating a growing chorus of experts as evidence by itself. [3]</w:t>
      </w:r>
    </w:p>
    <w:bookmarkEnd w:id="21"/>
    <w:bookmarkStart w:id="23" w:name="gavin-bakers-ai-policy-summary"/>
    <w:p>
      <w:pPr>
        <w:pStyle w:val="Heading2"/>
      </w:pPr>
      <w:hyperlink r:id="rId22">
        <w:r>
          <w:rPr>
            <w:rStyle w:val="Hyperlink"/>
          </w:rPr>
          <w:t xml:space="preserve">Gavin Baker’s AI-policy summary</w:t>
        </w:r>
      </w:hyperlink>
    </w:p>
    <w:p>
      <w:pPr>
        <w:numPr>
          <w:ilvl w:val="0"/>
          <w:numId w:val="1002"/>
        </w:numPr>
        <w:pStyle w:val="Compact"/>
      </w:pPr>
      <w:r>
        <w:rPr>
          <w:bCs/>
          <w:b/>
        </w:rPr>
        <w:t xml:space="preserve">Type / creator:</w:t>
      </w:r>
      <w:r>
        <w:t xml:space="preserve"> </w:t>
      </w:r>
      <w:r>
        <w:t xml:space="preserve">X post by</w:t>
      </w:r>
      <w:r>
        <w:t xml:space="preserve"> </w:t>
      </w:r>
      <w:r>
        <w:rPr>
          <w:bCs/>
          <w:b/>
        </w:rPr>
        <w:t xml:space="preserve">@GavinSBaker</w:t>
      </w:r>
      <w:r>
        <w:t xml:space="preserve">, opening with</w:t>
      </w:r>
      <w:r>
        <w:t xml:space="preserve"> </w:t>
      </w:r>
      <w:r>
        <w:t xml:space="preserve">“</w:t>
      </w:r>
      <w:r>
        <w:t xml:space="preserve">Wild 24 hours for AI and lots of different proposals have been made.</w:t>
      </w:r>
      <w:r>
        <w:t xml:space="preserve">”</w:t>
      </w:r>
      <w:r>
        <w:t xml:space="preserve"> </w:t>
      </w:r>
      <w:r>
        <w:t xml:space="preserve">[4]</w:t>
      </w:r>
    </w:p>
    <w:p>
      <w:pPr>
        <w:numPr>
          <w:ilvl w:val="0"/>
          <w:numId w:val="1002"/>
        </w:numPr>
        <w:pStyle w:val="Compact"/>
      </w:pPr>
      <w:r>
        <w:rPr>
          <w:bCs/>
          <w:b/>
        </w:rPr>
        <w:t xml:space="preserve">Recommended by:</w:t>
      </w:r>
      <w:r>
        <w:t xml:space="preserve"> </w:t>
      </w:r>
      <w:r>
        <w:rPr>
          <w:bCs/>
          <w:b/>
        </w:rPr>
        <w:t xml:space="preserve">Brad Gerstner</w:t>
      </w:r>
      <w:r>
        <w:t xml:space="preserve">, who called it a</w:t>
      </w:r>
      <w:r>
        <w:t xml:space="preserve"> </w:t>
      </w:r>
      <w:r>
        <w:t xml:space="preserve">“</w:t>
      </w:r>
      <w:r>
        <w:t xml:space="preserve">Good summary</w:t>
      </w:r>
      <w:r>
        <w:t xml:space="preserve">”</w:t>
      </w:r>
      <w:r>
        <w:t xml:space="preserve"> </w:t>
      </w:r>
      <w:r>
        <w:t xml:space="preserve">and a step toward avoiding reactionary over-regulation while balancing competition, open source, U.S. leadership over China, and public confidence. [5]</w:t>
      </w:r>
    </w:p>
    <w:p>
      <w:pPr>
        <w:numPr>
          <w:ilvl w:val="0"/>
          <w:numId w:val="1002"/>
        </w:numPr>
        <w:pStyle w:val="Compact"/>
      </w:pPr>
      <w:r>
        <w:rPr>
          <w:bCs/>
          <w:b/>
        </w:rPr>
        <w:t xml:space="preserve">Key takeaway:</w:t>
      </w:r>
      <w:r>
        <w:t xml:space="preserve"> </w:t>
      </w:r>
      <w:r>
        <w:t xml:space="preserve">Baker calls embedded third-party evaluators the only tangible new fact, then separates Dario Amodei’s broader package of national and international regulation from Sam Altman’s support for evaluators and Elon Musk’s proposal for competitor peer review before release. [4] He closes on the distribution-versus-centralization question, arguing for broadly distributed AI rather than leaving intelligence with a few corporations. [4]</w:t>
      </w:r>
    </w:p>
    <w:p>
      <w:pPr>
        <w:numPr>
          <w:ilvl w:val="0"/>
          <w:numId w:val="1002"/>
        </w:numPr>
        <w:pStyle w:val="Compact"/>
      </w:pPr>
      <w:r>
        <w:rPr>
          <w:bCs/>
          <w:b/>
        </w:rPr>
        <w:t xml:space="preserve">Why it matters:</w:t>
      </w:r>
      <w:r>
        <w:t xml:space="preserve"> </w:t>
      </w:r>
      <w:r>
        <w:t xml:space="preserve">This is a compact map of the policy fault line: third-party evaluation is the shared operational step, while national/global regulation, antitrust waivers, open weights, and concentration of control remain contested. [4]</w:t>
      </w:r>
    </w:p>
    <w:bookmarkEnd w:id="23"/>
    <w:bookmarkStart w:id="25" w:name="bedoyausas-ai-and-antitrust-post"/>
    <w:p>
      <w:pPr>
        <w:pStyle w:val="Heading2"/>
      </w:pPr>
      <w:hyperlink r:id="rId24">
        <w:r>
          <w:rPr>
            <w:rStyle w:val="Hyperlink"/>
          </w:rPr>
          <w:t xml:space="preserve">BedoyaUSA’s AI-and-antitrust post</w:t>
        </w:r>
      </w:hyperlink>
    </w:p>
    <w:p>
      <w:pPr>
        <w:numPr>
          <w:ilvl w:val="0"/>
          <w:numId w:val="1003"/>
        </w:numPr>
        <w:pStyle w:val="Compact"/>
      </w:pPr>
      <w:r>
        <w:rPr>
          <w:bCs/>
          <w:b/>
        </w:rPr>
        <w:t xml:space="preserve">Type / creator:</w:t>
      </w:r>
      <w:r>
        <w:t xml:space="preserve"> </w:t>
      </w:r>
      <w:r>
        <w:t xml:space="preserve">X post by</w:t>
      </w:r>
      <w:r>
        <w:t xml:space="preserve"> </w:t>
      </w:r>
      <w:r>
        <w:rPr>
          <w:bCs/>
          <w:b/>
        </w:rPr>
        <w:t xml:space="preserve">@BedoyaUSA</w:t>
      </w:r>
      <w:r>
        <w:t xml:space="preserve">.</w:t>
      </w:r>
    </w:p>
    <w:p>
      <w:pPr>
        <w:numPr>
          <w:ilvl w:val="0"/>
          <w:numId w:val="1003"/>
        </w:numPr>
        <w:pStyle w:val="Compact"/>
      </w:pPr>
      <w:r>
        <w:rPr>
          <w:bCs/>
          <w:b/>
        </w:rPr>
        <w:t xml:space="preserve">Recommended by:</w:t>
      </w:r>
      <w:r>
        <w:t xml:space="preserve"> </w:t>
      </w:r>
      <w:r>
        <w:rPr>
          <w:bCs/>
          <w:b/>
        </w:rPr>
        <w:t xml:space="preserve">Chamath Palihapitiya</w:t>
      </w:r>
      <w:r>
        <w:t xml:space="preserve">, who said,</w:t>
      </w:r>
      <w:r>
        <w:t xml:space="preserve"> </w:t>
      </w:r>
      <w:r>
        <w:t xml:space="preserve">“</w:t>
      </w:r>
      <w:r>
        <w:t xml:space="preserve">This is worth reading.</w:t>
      </w:r>
      <w:r>
        <w:t xml:space="preserve">”</w:t>
      </w:r>
      <w:r>
        <w:t xml:space="preserve"> </w:t>
      </w:r>
      <w:r>
        <w:t xml:space="preserve">[6]</w:t>
      </w:r>
    </w:p>
    <w:p>
      <w:pPr>
        <w:numPr>
          <w:ilvl w:val="0"/>
          <w:numId w:val="1003"/>
        </w:numPr>
        <w:pStyle w:val="Compact"/>
      </w:pPr>
      <w:r>
        <w:rPr>
          <w:bCs/>
          <w:b/>
        </w:rPr>
        <w:t xml:space="preserve">Key takeaway:</w:t>
      </w:r>
      <w:r>
        <w:t xml:space="preserve"> </w:t>
      </w:r>
      <w:r>
        <w:t xml:space="preserve">The post argues that AI will not eradicate humanity; that companies can coordinate on safety without violating antitrust law, pointing to a DOJ/FTC policy statement on cybersecurity information sharing; and that antitrust should still prevent incumbent AI companies from coordinating to exclude cheaper rivals. [7]</w:t>
      </w:r>
    </w:p>
    <w:p>
      <w:pPr>
        <w:numPr>
          <w:ilvl w:val="0"/>
          <w:numId w:val="1003"/>
        </w:numPr>
        <w:pStyle w:val="Compact"/>
      </w:pPr>
      <w:r>
        <w:rPr>
          <w:bCs/>
          <w:b/>
        </w:rPr>
        <w:t xml:space="preserve">Why it matters:</w:t>
      </w:r>
      <w:r>
        <w:t xml:space="preserve"> </w:t>
      </w:r>
      <w:r>
        <w:t xml:space="preserve">It is a useful adversarial companion to Baker’s summary because it draws a sharp line between safety cooperation and market protection. Its sweeping claims are arguments to test, not settled findings, so read it for the distinction it makes. [7]</w:t>
      </w:r>
    </w:p>
    <w:bookmarkEnd w:id="25"/>
    <w:bookmarkStart w:id="35" w:name="X9ddd6b0acd7c81aa1f9fdd91385cacc0e6efbd3"/>
    <w:p>
      <w:pPr>
        <w:pStyle w:val="Heading2"/>
      </w:pPr>
      <w:hyperlink r:id="rId26">
        <w:r>
          <w:rPr>
            <w:rStyle w:val="Hyperlink"/>
            <w:iCs/>
            <w:i/>
          </w:rPr>
          <w:t xml:space="preserve">Foreign accounts can drive the conversation on American AI policy</w:t>
        </w:r>
      </w:hyperlink>
    </w:p>
    <w:p>
      <w:pPr>
        <w:numPr>
          <w:ilvl w:val="0"/>
          <w:numId w:val="1004"/>
        </w:numPr>
        <w:pStyle w:val="Compact"/>
      </w:pPr>
      <w:r>
        <w:rPr>
          <w:bCs/>
          <w:b/>
        </w:rPr>
        <w:t xml:space="preserve">Type / creator:</w:t>
      </w:r>
      <w:r>
        <w:t xml:space="preserve"> </w:t>
      </w:r>
      <w:r>
        <w:t xml:space="preserve">X analysis by</w:t>
      </w:r>
      <w:r>
        <w:t xml:space="preserve"> </w:t>
      </w:r>
      <w:r>
        <w:rPr>
          <w:bCs/>
          <w:b/>
        </w:rPr>
        <w:t xml:space="preserve">Future Jurvetson</w:t>
      </w:r>
      <w:r>
        <w:t xml:space="preserve">.</w:t>
      </w:r>
    </w:p>
    <w:p>
      <w:pPr>
        <w:numPr>
          <w:ilvl w:val="0"/>
          <w:numId w:val="1004"/>
        </w:numPr>
        <w:pStyle w:val="Compact"/>
      </w:pPr>
      <w:r>
        <w:rPr>
          <w:bCs/>
          <w:b/>
        </w:rPr>
        <w:t xml:space="preserve">Recommended by:</w:t>
      </w:r>
      <w:r>
        <w:t xml:space="preserve"> </w:t>
      </w:r>
      <w:r>
        <w:rPr>
          <w:bCs/>
          <w:b/>
        </w:rPr>
        <w:t xml:space="preserve">Brian Armstrong</w:t>
      </w:r>
      <w:r>
        <w:t xml:space="preserve">, who shared it with the warning,</w:t>
      </w:r>
      <w:r>
        <w:t xml:space="preserve"> </w:t>
      </w:r>
      <w:r>
        <w:t xml:space="preserve">“</w:t>
      </w:r>
      <w:r>
        <w:t xml:space="preserve">Beware the propaganda.</w:t>
      </w:r>
      <w:r>
        <w:t xml:space="preserve">”</w:t>
      </w:r>
      <w:r>
        <w:t xml:space="preserve"> </w:t>
      </w:r>
      <w:r>
        <w:t xml:space="preserve">[8]</w:t>
      </w:r>
    </w:p>
    <w:p>
      <w:pPr>
        <w:numPr>
          <w:ilvl w:val="0"/>
          <w:numId w:val="1004"/>
        </w:numPr>
        <w:pStyle w:val="Compact"/>
      </w:pPr>
      <w:r>
        <w:rPr>
          <w:bCs/>
          <w:b/>
        </w:rPr>
        <w:t xml:space="preserve">Key takeaway:</w:t>
      </w:r>
      <w:r>
        <w:t xml:space="preserve"> </w:t>
      </w:r>
      <w:r>
        <w:t xml:space="preserve">Jurvetson’s post says Jacob Coxon’s Anthropic resignation post received 165 million views and that 76% of its reposts came from foreign countries, led by India and Indonesia. It contrasts that with Parker Thayer’s skeptical analysis, which received 6.6 million views and drew 34% of its engagement from foreign countries, then warns readers not to confuse what is trending with what Americans want in AI policy. [9]</w:t>
      </w:r>
    </w:p>
    <w:p>
      <w:pPr>
        <w:numPr>
          <w:ilvl w:val="0"/>
          <w:numId w:val="1004"/>
        </w:numPr>
        <w:pStyle w:val="Compact"/>
      </w:pPr>
      <w:r>
        <w:rPr>
          <w:bCs/>
          <w:b/>
        </w:rPr>
        <w:t xml:space="preserve">Why it matters:</w:t>
      </w:r>
      <w:r>
        <w:t xml:space="preserve"> </w:t>
      </w:r>
      <w:r>
        <w:t xml:space="preserve">This is a useful provenance check for the AI-regulation debate. The figures and interpretation are presented by the post itself, so treat it as a lead for investigating how political narratives spread—not as proof that foreign amplification caused a particular policy outcome. [9]</w:t>
      </w:r>
    </w:p>
    <w:p>
      <w:r>
        <w:pict>
          <v:rect style="width:0;height:1.5pt" o:hralign="center" o:hrstd="t" o:hr="t"/>
        </w:pict>
      </w:r>
    </w:p>
    <w:bookmarkStart w:id="34" w:name="sources"/>
    <w:p>
      <w:pPr>
        <w:pStyle w:val="Heading3"/>
      </w:pPr>
      <w:r>
        <w:t xml:space="preserve">Sources</w:t>
      </w:r>
    </w:p>
    <w:p>
      <w:pPr>
        <w:numPr>
          <w:ilvl w:val="0"/>
          <w:numId w:val="1005"/>
        </w:numPr>
        <w:pStyle w:val="Compact"/>
      </w:pPr>
      <w:hyperlink r:id="rId27">
        <w:r>
          <w:rPr>
            <w:rStyle w:val="Hyperlink"/>
          </w:rPr>
          <w:t xml:space="preserve">𝕏 post by</w:t>
        </w:r>
        <w:r>
          <w:rPr>
            <w:rStyle w:val="Hyperlink"/>
          </w:rPr>
          <w:t xml:space="preserve"> </w:t>
        </w:r>
        <w:r>
          <w:rPr>
            <w:rStyle w:val="Hyperlink"/>
          </w:rPr>
          <w:t xml:space="preserve">@martin_casado</w:t>
        </w:r>
      </w:hyperlink>
    </w:p>
    <w:p>
      <w:pPr>
        <w:numPr>
          <w:ilvl w:val="0"/>
          <w:numId w:val="1005"/>
        </w:numPr>
        <w:pStyle w:val="Compact"/>
      </w:pPr>
      <w:hyperlink r:id="rId28">
        <w:r>
          <w:rPr>
            <w:rStyle w:val="Hyperlink"/>
          </w:rPr>
          <w:t xml:space="preserve">𝕏 post by</w:t>
        </w:r>
        <w:r>
          <w:rPr>
            <w:rStyle w:val="Hyperlink"/>
          </w:rPr>
          <w:t xml:space="preserve"> </w:t>
        </w:r>
        <w:r>
          <w:rPr>
            <w:rStyle w:val="Hyperlink"/>
          </w:rPr>
          <w:t xml:space="preserve">@bcantrill</w:t>
        </w:r>
      </w:hyperlink>
    </w:p>
    <w:p>
      <w:pPr>
        <w:numPr>
          <w:ilvl w:val="0"/>
          <w:numId w:val="1005"/>
        </w:numPr>
        <w:pStyle w:val="Compact"/>
      </w:pPr>
      <w:hyperlink r:id="rId20">
        <w:r>
          <w:rPr>
            <w:rStyle w:val="Hyperlink"/>
          </w:rPr>
          <w:t xml:space="preserve">The contagion of fear</w:t>
        </w:r>
      </w:hyperlink>
    </w:p>
    <w:p>
      <w:pPr>
        <w:numPr>
          <w:ilvl w:val="0"/>
          <w:numId w:val="1005"/>
        </w:numPr>
        <w:pStyle w:val="Compact"/>
      </w:pPr>
      <w:hyperlink r:id="rId29">
        <w:r>
          <w:rPr>
            <w:rStyle w:val="Hyperlink"/>
          </w:rPr>
          <w:t xml:space="preserve">𝕏 post by</w:t>
        </w:r>
        <w:r>
          <w:rPr>
            <w:rStyle w:val="Hyperlink"/>
          </w:rPr>
          <w:t xml:space="preserve"> </w:t>
        </w:r>
        <w:r>
          <w:rPr>
            <w:rStyle w:val="Hyperlink"/>
          </w:rPr>
          <w:t xml:space="preserve">@GavinSBaker</w:t>
        </w:r>
      </w:hyperlink>
    </w:p>
    <w:p>
      <w:pPr>
        <w:numPr>
          <w:ilvl w:val="0"/>
          <w:numId w:val="1005"/>
        </w:numPr>
        <w:pStyle w:val="Compact"/>
      </w:pPr>
      <w:hyperlink r:id="rId30">
        <w:r>
          <w:rPr>
            <w:rStyle w:val="Hyperlink"/>
          </w:rPr>
          <w:t xml:space="preserve">𝕏 post by</w:t>
        </w:r>
        <w:r>
          <w:rPr>
            <w:rStyle w:val="Hyperlink"/>
          </w:rPr>
          <w:t xml:space="preserve"> </w:t>
        </w:r>
        <w:r>
          <w:rPr>
            <w:rStyle w:val="Hyperlink"/>
          </w:rPr>
          <w:t xml:space="preserve">@altcap</w:t>
        </w:r>
      </w:hyperlink>
    </w:p>
    <w:p>
      <w:pPr>
        <w:numPr>
          <w:ilvl w:val="0"/>
          <w:numId w:val="1005"/>
        </w:numPr>
        <w:pStyle w:val="Compact"/>
      </w:pPr>
      <w:hyperlink r:id="rId31">
        <w:r>
          <w:rPr>
            <w:rStyle w:val="Hyperlink"/>
          </w:rPr>
          <w:t xml:space="preserve">𝕏 post by</w:t>
        </w:r>
        <w:r>
          <w:rPr>
            <w:rStyle w:val="Hyperlink"/>
          </w:rPr>
          <w:t xml:space="preserve"> </w:t>
        </w:r>
        <w:r>
          <w:rPr>
            <w:rStyle w:val="Hyperlink"/>
          </w:rPr>
          <w:t xml:space="preserve">@chamath</w:t>
        </w:r>
      </w:hyperlink>
    </w:p>
    <w:p>
      <w:pPr>
        <w:numPr>
          <w:ilvl w:val="0"/>
          <w:numId w:val="1005"/>
        </w:numPr>
        <w:pStyle w:val="Compact"/>
      </w:pPr>
      <w:hyperlink r:id="rId32">
        <w:r>
          <w:rPr>
            <w:rStyle w:val="Hyperlink"/>
          </w:rPr>
          <w:t xml:space="preserve">𝕏 post by</w:t>
        </w:r>
        <w:r>
          <w:rPr>
            <w:rStyle w:val="Hyperlink"/>
          </w:rPr>
          <w:t xml:space="preserve"> </w:t>
        </w:r>
        <w:r>
          <w:rPr>
            <w:rStyle w:val="Hyperlink"/>
          </w:rPr>
          <w:t xml:space="preserve">@BedoyaUSA</w:t>
        </w:r>
      </w:hyperlink>
    </w:p>
    <w:p>
      <w:pPr>
        <w:numPr>
          <w:ilvl w:val="0"/>
          <w:numId w:val="1005"/>
        </w:numPr>
        <w:pStyle w:val="Compact"/>
      </w:pPr>
      <w:hyperlink r:id="rId33">
        <w:r>
          <w:rPr>
            <w:rStyle w:val="Hyperlink"/>
          </w:rPr>
          <w:t xml:space="preserve">𝕏 post by</w:t>
        </w:r>
        <w:r>
          <w:rPr>
            <w:rStyle w:val="Hyperlink"/>
          </w:rPr>
          <w:t xml:space="preserve"> </w:t>
        </w:r>
        <w:r>
          <w:rPr>
            <w:rStyle w:val="Hyperlink"/>
          </w:rPr>
          <w:t xml:space="preserve">@brian_armstrong</w:t>
        </w:r>
      </w:hyperlink>
    </w:p>
    <w:p>
      <w:pPr>
        <w:numPr>
          <w:ilvl w:val="0"/>
          <w:numId w:val="1005"/>
        </w:numPr>
        <w:pStyle w:val="Compact"/>
      </w:pPr>
      <w:hyperlink r:id="rId26">
        <w:r>
          <w:rPr>
            <w:rStyle w:val="Hyperlink"/>
          </w:rPr>
          <w:t xml:space="preserve">𝕏 post by</w:t>
        </w:r>
        <w:r>
          <w:rPr>
            <w:rStyle w:val="Hyperlink"/>
          </w:rPr>
          <w:t xml:space="preserve"> </w:t>
        </w:r>
        <w:r>
          <w:rPr>
            <w:rStyle w:val="Hyperlink"/>
          </w:rPr>
          <w:t xml:space="preserve">@FutureJurvetson</w:t>
        </w:r>
      </w:hyperlink>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bcantrill.dtrace.org/2026/09/13/the-contagion-of-fear/" TargetMode="External" /><Relationship Type="http://schemas.openxmlformats.org/officeDocument/2006/relationships/hyperlink" Id="rId32" Target="https://x.com/BedoyaUSA/status/2099144876939948254" TargetMode="External" /><Relationship Type="http://schemas.openxmlformats.org/officeDocument/2006/relationships/hyperlink" Id="rId26" Target="https://x.com/FutureJurvetson/status/2098481615592951907" TargetMode="External" /><Relationship Type="http://schemas.openxmlformats.org/officeDocument/2006/relationships/hyperlink" Id="rId29" Target="https://x.com/GavinSBaker/status/2099170698887315833" TargetMode="External" /><Relationship Type="http://schemas.openxmlformats.org/officeDocument/2006/relationships/hyperlink" Id="rId30" Target="https://x.com/altcap/status/2099179320950562931" TargetMode="External" /><Relationship Type="http://schemas.openxmlformats.org/officeDocument/2006/relationships/hyperlink" Id="rId28" Target="https://x.com/bcantrill/status/2099265541383065861" TargetMode="External" /><Relationship Type="http://schemas.openxmlformats.org/officeDocument/2006/relationships/hyperlink" Id="rId24" Target="https://x.com/bedoyausa/status/2099144876939948254" TargetMode="External" /><Relationship Type="http://schemas.openxmlformats.org/officeDocument/2006/relationships/hyperlink" Id="rId33" Target="https://x.com/brian_armstrong/status/2099283173083656466" TargetMode="External" /><Relationship Type="http://schemas.openxmlformats.org/officeDocument/2006/relationships/hyperlink" Id="rId31" Target="https://x.com/chamath/status/2099220075148722365" TargetMode="External" /><Relationship Type="http://schemas.openxmlformats.org/officeDocument/2006/relationships/hyperlink" Id="rId22" Target="https://x.com/gavinsbaker/status/2099170698887315833" TargetMode="External" /><Relationship Type="http://schemas.openxmlformats.org/officeDocument/2006/relationships/hyperlink" Id="rId27" Target="https://x.com/martin_casado/status/2099304954662121610" TargetMode="External" /></Relationships>
</file>

<file path=word/_rels/footnotes.xml.rels><?xml version="1.0" encoding="UTF-8"?><Relationships xmlns="http://schemas.openxmlformats.org/package/2006/relationships"><Relationship Type="http://schemas.openxmlformats.org/officeDocument/2006/relationships/hyperlink" Id="rId20" Target="https://bcantrill.dtrace.org/2026/09/13/the-contagion-of-fear/" TargetMode="External" /><Relationship Type="http://schemas.openxmlformats.org/officeDocument/2006/relationships/hyperlink" Id="rId32" Target="https://x.com/BedoyaUSA/status/2099144876939948254" TargetMode="External" /><Relationship Type="http://schemas.openxmlformats.org/officeDocument/2006/relationships/hyperlink" Id="rId26" Target="https://x.com/FutureJurvetson/status/2098481615592951907" TargetMode="External" /><Relationship Type="http://schemas.openxmlformats.org/officeDocument/2006/relationships/hyperlink" Id="rId29" Target="https://x.com/GavinSBaker/status/2099170698887315833" TargetMode="External" /><Relationship Type="http://schemas.openxmlformats.org/officeDocument/2006/relationships/hyperlink" Id="rId30" Target="https://x.com/altcap/status/2099179320950562931" TargetMode="External" /><Relationship Type="http://schemas.openxmlformats.org/officeDocument/2006/relationships/hyperlink" Id="rId28" Target="https://x.com/bcantrill/status/2099265541383065861" TargetMode="External" /><Relationship Type="http://schemas.openxmlformats.org/officeDocument/2006/relationships/hyperlink" Id="rId24" Target="https://x.com/bedoyausa/status/2099144876939948254" TargetMode="External" /><Relationship Type="http://schemas.openxmlformats.org/officeDocument/2006/relationships/hyperlink" Id="rId33" Target="https://x.com/brian_armstrong/status/2099283173083656466" TargetMode="External" /><Relationship Type="http://schemas.openxmlformats.org/officeDocument/2006/relationships/hyperlink" Id="rId31" Target="https://x.com/chamath/status/2099220075148722365" TargetMode="External" /><Relationship Type="http://schemas.openxmlformats.org/officeDocument/2006/relationships/hyperlink" Id="rId22" Target="https://x.com/gavinsbaker/status/2099170698887315833" TargetMode="External" /><Relationship Type="http://schemas.openxmlformats.org/officeDocument/2006/relationships/hyperlink" Id="rId27" Target="https://x.com/martin_casado/status/20993049546621216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strongest new read is an engineering rebuttal to AI-extinction claims</dc:title>
  <dc:creator>Recommended Reading from Tech Founders</dc:creator>
  <cp:keywords/>
  <dcterms:created xsi:type="dcterms:W3CDTF">2026-09-14T20:23:59Z</dcterms:created>
  <dcterms:modified xsi:type="dcterms:W3CDTF">2026-09-14T20:23:59Z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2026-09-14</vt:lpwstr>
  </property>
</Properties>
</file>