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 Warns on AI Concentration as Compute and Domain AI Push Ahead</w:t>
      </w:r>
    </w:p>
    <w:p>
      <w:pPr>
        <w:pStyle w:val="Author"/>
      </w:pPr>
      <w:r>
        <w:t xml:space="preserve">AI News Digest</w:t>
      </w:r>
    </w:p>
    <w:p>
      <w:pPr>
        <w:pStyle w:val="Date"/>
      </w:pPr>
      <w:r>
        <w:t xml:space="preserve">2026-07-02</w:t>
      </w:r>
    </w:p>
    <w:bookmarkStart w:id="41" w:name="X807724693690d257a411bfa3ac58d3c5ba88112"/>
    <w:p>
      <w:pPr>
        <w:pStyle w:val="Heading1"/>
      </w:pPr>
      <w:r>
        <w:t xml:space="preserve">UN Warns on AI Concentration as Compute and Domain AI Push Ahead</w:t>
      </w:r>
    </w:p>
    <w:p>
      <w:pPr>
        <w:pStyle w:val="FirstParagraph"/>
      </w:pPr>
      <w:r>
        <w:rPr>
          <w:iCs/>
          <w:i/>
        </w:rPr>
        <w:t xml:space="preserve">By AI News Digest • July 2, 2026</w:t>
      </w:r>
    </w:p>
    <w:p>
      <w:pPr>
        <w:pStyle w:val="BodyText"/>
      </w:pPr>
      <w:r>
        <w:t xml:space="preserve">A new UN scientific panel says AI capability growth is outpacing control, while NVIDIA and Together deepen the capital race around compute. Meanwhile, notable systems in engineering, drug discovery, and open-weight coding show where capability is turning into workflow change.</w:t>
      </w:r>
    </w:p>
    <w:bookmarkStart w:id="22" w:name="governance-and-safety-infrastructure"/>
    <w:p>
      <w:pPr>
        <w:pStyle w:val="Heading2"/>
      </w:pPr>
      <w:r>
        <w:t xml:space="preserve">Governance and safety infrastructure</w:t>
      </w:r>
    </w:p>
    <w:bookmarkStart w:id="20" w:name="X7b4c4bff498ea0dcfc4f1df63a8d319b1023c2c"/>
    <w:p>
      <w:pPr>
        <w:pStyle w:val="Heading3"/>
      </w:pPr>
      <w:r>
        <w:t xml:space="preserve">UN panel puts concentration and control at the center</w:t>
      </w:r>
    </w:p>
    <w:p>
      <w:pPr>
        <w:pStyle w:val="FirstParagraph"/>
      </w:pPr>
      <w:r>
        <w:t xml:space="preserve">The UN’s Independent International Scientific Panel on AI released a preliminary report ahead of the inaugural Global Dialogue on AI Governance in Geneva on July 6-7 [1, 2]. It flags fast capability growth — top HLE benchmark scores rose from 8% to 45% in 16 months — alongside concentration of power, with the U.S. holding 75% of compute in the world’s largest AI clusters and frontier development concentrated in two countries [1, 2].</w:t>
      </w:r>
    </w:p>
    <w:p>
      <w:pPr>
        <w:pStyle w:val="BlockText"/>
      </w:pPr>
      <w:r>
        <w:t xml:space="preserve">“</w:t>
      </w:r>
      <w:r>
        <w:t xml:space="preserve">No expert today can promise you that the most advanced systems will do what you instruct it to do.</w:t>
      </w:r>
      <w:r>
        <w:t xml:space="preserve">”</w:t>
      </w:r>
      <w:r>
        <w:t xml:space="preserve"> </w:t>
      </w:r>
      <w:r>
        <w:t xml:space="preserve">[1]</w:t>
      </w:r>
    </w:p>
    <w:p>
      <w:pPr>
        <w:pStyle w:val="FirstParagraph"/>
      </w:pPr>
      <w:r>
        <w:t xml:space="preserve">The report also points to gaps in evaluation, security, and governance, while co-chair Yoshua Bengio said policymakers need plans robust to multiple capability trajectories, including plausible faster AI-driven AI research; the panel emphasized that its role is to provide an evidence base, not policy recommendations [1].</w:t>
      </w:r>
    </w:p>
    <w:p>
      <w:pPr>
        <w:pStyle w:val="BodyText"/>
      </w:pPr>
      <w:r>
        <w:rPr>
          <w:bCs/>
          <w:b/>
        </w:rPr>
        <w:t xml:space="preserve">Why it matters:</w:t>
      </w:r>
      <w:r>
        <w:t xml:space="preserve"> </w:t>
      </w:r>
      <w:r>
        <w:t xml:space="preserve">The UN conversation is becoming more concrete: capability acceleration, compute concentration, and control limits are now being framed together as governance inputs rather than separate debates.</w:t>
      </w:r>
    </w:p>
    <w:bookmarkEnd w:id="20"/>
    <w:bookmarkStart w:id="21" w:name="X8c5f46955d9dc4cb453e18c7da231f15435089a"/>
    <w:p>
      <w:pPr>
        <w:pStyle w:val="Heading3"/>
      </w:pPr>
      <w:r>
        <w:t xml:space="preserve">FLARE launches a shared way to report AI flaws</w:t>
      </w:r>
    </w:p>
    <w:p>
      <w:pPr>
        <w:pStyle w:val="FirstParagraph"/>
      </w:pPr>
      <w:r>
        <w:t xml:space="preserve">FLARE, a coalition led by Hugging Face CEO Clément Delangue with researchers from MIT, Stanford, Princeton, Harvard, Northeastern, Carnegie Mellon and others, launched its first release: a standardized way to report AI flaws across the ecosystem [3]. The goal is that one disclosure can reach developers, safety organizations, and registries, and the coalition argues that accessible or open-source systems are easier to inspect, stress-test, and hold accountable [3].</w:t>
      </w:r>
    </w:p>
    <w:p>
      <w:pPr>
        <w:pStyle w:val="BodyText"/>
      </w:pPr>
      <w:r>
        <w:rPr>
          <w:bCs/>
          <w:b/>
        </w:rPr>
        <w:t xml:space="preserve">Why it matters:</w:t>
      </w:r>
      <w:r>
        <w:t xml:space="preserve"> </w:t>
      </w:r>
      <w:r>
        <w:t xml:space="preserve">Safety work is inching from broad principles toward shared operating procedures.</w:t>
      </w:r>
    </w:p>
    <w:bookmarkEnd w:id="21"/>
    <w:bookmarkEnd w:id="22"/>
    <w:bookmarkStart w:id="25" w:name="Xbe11b11601cb41cd1679150266c3e44f54fe7e5"/>
    <w:p>
      <w:pPr>
        <w:pStyle w:val="Heading2"/>
      </w:pPr>
      <w:r>
        <w:t xml:space="preserve">Compute economics and platform competition</w:t>
      </w:r>
    </w:p>
    <w:bookmarkStart w:id="23" w:name="X492d777b5ff845047fdca8a723247f52d7bed7c"/>
    <w:p>
      <w:pPr>
        <w:pStyle w:val="Heading3"/>
      </w:pPr>
      <w:r>
        <w:t xml:space="preserve">The compute buildout is getting more financialized — and more contested</w:t>
      </w:r>
    </w:p>
    <w:p>
      <w:pPr>
        <w:pStyle w:val="FirstParagraph"/>
      </w:pPr>
      <w:r>
        <w:t xml:space="preserve">NVIDIA introduced a revenue-sharing and credit-support model that lets AI clouds procure NVIDIA infrastructure for AI-native customers, giving NVIDIA both product revenue and a share of cloud revenue on supported capacity; early deployments include Sharon AI with up to 40,000 Grace Blackwell GB300 GPUs and Firmus, which expects to scale its Indonesia campus to 360 megawatts and up to 170,000 NVIDIA GPUs [4]. Separately, NVIDIA said it plans to produce up to $500 billion of AI infrastructure in the U.S. with partners including TSMC, Foxconn, Wistron, Corning, Lumentum, Coherent, and Amkor, with Blackwell wafer production underway in Phoenix and new system-manufacturing facilities in Houston and Fort Worth [5]. On the demand side, Together Compute announced an $800 million Series C at an $8.3 billion valuation, while Gary Marcus pointed to Bloomberg-reported plans for Meta to market excess AI processing capacity as a possible sign that overbuild may already be starting [6, 7, 8].</w:t>
      </w:r>
    </w:p>
    <w:p>
      <w:pPr>
        <w:pStyle w:val="BodyText"/>
      </w:pPr>
      <w:r>
        <w:rPr>
          <w:bCs/>
          <w:b/>
        </w:rPr>
        <w:t xml:space="preserve">Why it matters:</w:t>
      </w:r>
      <w:r>
        <w:t xml:space="preserve"> </w:t>
      </w:r>
      <w:r>
        <w:t xml:space="preserve">The infrastructure story is no longer just bigger clusters. It now includes new financing structures, new manufacturing footprints, and a real debate over whether capacity could eventually outpace demand.</w:t>
      </w:r>
    </w:p>
    <w:bookmarkEnd w:id="23"/>
    <w:bookmarkStart w:id="24" w:name="X3b55e557c9ab09a0855f1c6e1b72cc450ea30b4"/>
    <w:p>
      <w:pPr>
        <w:pStyle w:val="Heading3"/>
      </w:pPr>
      <w:r>
        <w:t xml:space="preserve">ZAI’s GLM 5.2 extends the open-weight push into long-context agents</w:t>
      </w:r>
    </w:p>
    <w:p>
      <w:pPr>
        <w:pStyle w:val="FirstParagraph"/>
      </w:pPr>
      <w:r>
        <w:t xml:space="preserve">ZAI released GLM 5.2, a text-only flagship model with a 1 million token context window, 128,000 token maximum output, function calling, structured output, context caching, and MCP support for coding and agentic workflows [9]. The model is open weight under an MIT license at 753 billion parameters, but its roughly 1.5TB weight footprint makes local use impractical for most people; access is instead geared toward the ZAI site, APIs, or self-hosting on cloud GPUs [9]. A video walkthrough framed the lower cost as a practical advantage for longer agent runs and heavier experimentation in token-intensive workflows [9].</w:t>
      </w:r>
    </w:p>
    <w:p>
      <w:pPr>
        <w:pStyle w:val="BodyText"/>
      </w:pPr>
      <w:r>
        <w:rPr>
          <w:bCs/>
          <w:b/>
        </w:rPr>
        <w:t xml:space="preserve">Why it matters:</w:t>
      </w:r>
      <w:r>
        <w:t xml:space="preserve"> </w:t>
      </w:r>
      <w:r>
        <w:t xml:space="preserve">Even when</w:t>
      </w:r>
      <w:r>
        <w:t xml:space="preserve"> </w:t>
      </w:r>
      <w:r>
        <w:t xml:space="preserve">“</w:t>
      </w:r>
      <w:r>
        <w:t xml:space="preserve">open</w:t>
      </w:r>
      <w:r>
        <w:t xml:space="preserve">”</w:t>
      </w:r>
      <w:r>
        <w:t xml:space="preserve"> </w:t>
      </w:r>
      <w:r>
        <w:t xml:space="preserve">does not mean laptop-friendly, cheaper open-weight models can still broaden experimentation around agent workflows and reduce dependence on closed frontier stacks.</w:t>
      </w:r>
    </w:p>
    <w:bookmarkEnd w:id="24"/>
    <w:bookmarkEnd w:id="25"/>
    <w:bookmarkStart w:id="40" w:name="domain-ai-keeps-getting-more-operational"/>
    <w:p>
      <w:pPr>
        <w:pStyle w:val="Heading2"/>
      </w:pPr>
      <w:r>
        <w:t xml:space="preserve">Domain AI keeps getting more operational</w:t>
      </w:r>
    </w:p>
    <w:bookmarkStart w:id="26" w:name="X140a25a1efd0e45b319d89c069b76a65262acf5"/>
    <w:p>
      <w:pPr>
        <w:pStyle w:val="Heading3"/>
      </w:pPr>
      <w:r>
        <w:t xml:space="preserve">Neural Concept shows AI-native engineering in production</w:t>
      </w:r>
    </w:p>
    <w:p>
      <w:pPr>
        <w:pStyle w:val="FirstParagraph"/>
      </w:pPr>
      <w:r>
        <w:t xml:space="preserve">Neural Concept, spun out of EPFL, builds physics-aware models that ingest 3D geometries and predict aerodynamics, deformation, and temperature, turning solver-style iteration from days into minutes [10]. Jaguar Land Rover said its external aerodynamics workflow went from about 50 to 1,500 design evaluations per day with the system, while battery cool-plate suppliers cut development cycles 80% and found designs that cooled 20% better on 15% lighter parts [10]. The platform is also used by Formula 1 teams operating under compute caps, and the company argues AI is augmenting rather than replacing simulation as more of the workflow becomes automated [10].</w:t>
      </w:r>
    </w:p>
    <w:p>
      <w:pPr>
        <w:pStyle w:val="BodyText"/>
      </w:pPr>
      <w:r>
        <w:rPr>
          <w:bCs/>
          <w:b/>
        </w:rPr>
        <w:t xml:space="preserve">Why it matters:</w:t>
      </w:r>
      <w:r>
        <w:t xml:space="preserve"> </w:t>
      </w:r>
      <w:r>
        <w:t xml:space="preserve">This is one of the clearest current examples of AI shrinking real-world hardware design loops, in an auto market where legacy OEM timelines still trail Chinese peers by years [10].</w:t>
      </w:r>
    </w:p>
    <w:bookmarkEnd w:id="26"/>
    <w:bookmarkStart w:id="27" w:name="X3197796ede3cafddd043fab6ccbdcfe5a56421f"/>
    <w:p>
      <w:pPr>
        <w:pStyle w:val="Heading3"/>
      </w:pPr>
      <w:r>
        <w:t xml:space="preserve">Genesis says better co-folding can support tighter drug-discovery loops</w:t>
      </w:r>
    </w:p>
    <w:p>
      <w:pPr>
        <w:pStyle w:val="FirstParagraph"/>
      </w:pPr>
      <w:r>
        <w:t xml:space="preserve">Genesis Molecular AI said its PEARL model can account for protein flexibility and induced fit, letting it place ligands accurately without long molecular-dynamics simulations [11]. On OpenBind, a benchmark of 802 previously unseen EV-A71 complexes, the company said PEARL outperformed public models zero-shot; the team also argues the field’s common 2Å RMSD threshold is too loose for reliable interaction modeling and that 1Å is the more useful bar [11]. Former Meta Llama 2/3 lead Sergey Edunov has joined as CTO, and Genesis says this level of model accuracy is what makes its internal agentic discovery loop, SAPPHIRE, newly viable [11].</w:t>
      </w:r>
    </w:p>
    <w:p>
      <w:pPr>
        <w:pStyle w:val="BodyText"/>
      </w:pPr>
      <w:r>
        <w:rPr>
          <w:bCs/>
          <w:b/>
        </w:rPr>
        <w:t xml:space="preserve">Why it matters:</w:t>
      </w:r>
      <w:r>
        <w:t xml:space="preserve"> </w:t>
      </w:r>
      <w:r>
        <w:t xml:space="preserve">The interesting shift here is from better structure prediction alone toward claims of end-to-end agent-tool-lab iteration in drug discovery.</w:t>
      </w:r>
    </w:p>
    <w:p>
      <w:r>
        <w:pict>
          <v:rect style="width:0;height:1.5pt" o:hralign="center" o:hrstd="t" o:hr="t"/>
        </w:pict>
      </w:r>
    </w:p>
    <w:bookmarkEnd w:id="27"/>
    <w:bookmarkStart w:id="39" w:name="sources"/>
    <w:p>
      <w:pPr>
        <w:pStyle w:val="Heading3"/>
      </w:pPr>
      <w:r>
        <w:t xml:space="preserve">Sources</w:t>
      </w:r>
    </w:p>
    <w:p>
      <w:pPr>
        <w:numPr>
          <w:ilvl w:val="0"/>
          <w:numId w:val="1001"/>
        </w:numPr>
        <w:pStyle w:val="Compact"/>
      </w:pPr>
      <w:hyperlink r:id="rId28">
        <w:r>
          <w:rPr>
            <w:rStyle w:val="Hyperlink"/>
          </w:rPr>
          <w:t xml:space="preserve">UN launches preliminary report by the Independent International Scientific Panel on AI</w:t>
        </w:r>
      </w:hyperlink>
    </w:p>
    <w:p>
      <w:pPr>
        <w:numPr>
          <w:ilvl w:val="0"/>
          <w:numId w:val="1001"/>
        </w:numPr>
        <w:pStyle w:val="Compact"/>
      </w:pPr>
      <w:hyperlink r:id="rId29">
        <w:r>
          <w:rPr>
            <w:rStyle w:val="Hyperlink"/>
          </w:rPr>
          <w:t xml:space="preserve">The UN Global Dialogue on AI Governance Explained | United Nations</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1">
        <w:r>
          <w:rPr>
            <w:rStyle w:val="Hyperlink"/>
          </w:rPr>
          <w:t xml:space="preserve">NVIDIA Unlocks AI Compute at Scale, Inviting Partners to Power the AI Infrastructure Buildout</w:t>
        </w:r>
      </w:hyperlink>
    </w:p>
    <w:p>
      <w:pPr>
        <w:numPr>
          <w:ilvl w:val="0"/>
          <w:numId w:val="1001"/>
        </w:numPr>
        <w:pStyle w:val="Compact"/>
      </w:pPr>
      <w:hyperlink r:id="rId32">
        <w:r>
          <w:rPr>
            <w:rStyle w:val="Hyperlink"/>
          </w:rPr>
          <w:t xml:space="preserve">NVIDIA and Partners Build in America, for America</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@vipulved</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@RihardJarc</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GLM-5.2 Proves Open-Source AI is Finally Good Now!</w:t>
        </w:r>
      </w:hyperlink>
    </w:p>
    <w:p>
      <w:pPr>
        <w:numPr>
          <w:ilvl w:val="0"/>
          <w:numId w:val="1001"/>
        </w:numPr>
        <w:pStyle w:val="Compact"/>
      </w:pPr>
      <w:hyperlink r:id="rId37">
        <w:r>
          <w:rPr>
            <w:rStyle w:val="Hyperlink"/>
          </w:rPr>
          <w:t xml:space="preserve">1000 Designs a Day: Neural Concept’s Thomas von Tschammer on AI-Native Engineering</w:t>
        </w:r>
      </w:hyperlink>
    </w:p>
    <w:p>
      <w:pPr>
        <w:numPr>
          <w:ilvl w:val="0"/>
          <w:numId w:val="1001"/>
        </w:numPr>
        <w:pStyle w:val="Compact"/>
      </w:pPr>
      <w:hyperlink r:id="rId38">
        <w:r>
          <w:rPr>
            <w:rStyle w:val="Hyperlink"/>
          </w:rPr>
          <w:t xml:space="preserve">🔬 The Coolest Diffusion Research Isn’t in LLMs — Evan Feinberg &amp; Sergey Edunov, Genesis Molecular AI</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blogs.nvidia.com/blog/nvidia-and-partners-build-in-america-for-america" TargetMode="External" /><Relationship Type="http://schemas.openxmlformats.org/officeDocument/2006/relationships/hyperlink" Id="rId31" Target="https://blogs.nvidia.com/blog/nvidia-unlocks-ai-compute-at-scale-capital-partners-to-power-ai-infrastructure-buildout" TargetMode="External" /><Relationship Type="http://schemas.openxmlformats.org/officeDocument/2006/relationships/hyperlink" Id="rId37" Target="https://www.cognitiverevolution.ai/1000-designs-a-day-neural-concept-s-thomas-von-tschammer-on-ai-native-engineering" TargetMode="External" /><Relationship Type="http://schemas.openxmlformats.org/officeDocument/2006/relationships/hyperlink" Id="rId38" Target="https://www.latent.space/p/the-coolest-diffusion-research-isnt" TargetMode="External" /><Relationship Type="http://schemas.openxmlformats.org/officeDocument/2006/relationships/hyperlink" Id="rId36" Target="https://www.youtube.com/watch?v=XbHeJL45USQ" TargetMode="External" /><Relationship Type="http://schemas.openxmlformats.org/officeDocument/2006/relationships/hyperlink" Id="rId28" Target="https://www.youtube.com/watch?v=kPfuP_OiC-U" TargetMode="External" /><Relationship Type="http://schemas.openxmlformats.org/officeDocument/2006/relationships/hyperlink" Id="rId29" Target="https://www.youtube.com/watch?v=zALv9fAk_Fw" TargetMode="External" /><Relationship Type="http://schemas.openxmlformats.org/officeDocument/2006/relationships/hyperlink" Id="rId30" Target="https://x.com/ClementDelangue/status/2072401982569025742" TargetMode="External" /><Relationship Type="http://schemas.openxmlformats.org/officeDocument/2006/relationships/hyperlink" Id="rId35" Target="https://x.com/GaryMarcus/status/2072307360803004418" TargetMode="External" /><Relationship Type="http://schemas.openxmlformats.org/officeDocument/2006/relationships/hyperlink" Id="rId34" Target="https://x.com/RihardJarc/status/2072298314905579631" TargetMode="External" /><Relationship Type="http://schemas.openxmlformats.org/officeDocument/2006/relationships/hyperlink" Id="rId33" Target="https://x.com/vipulved/status/2072321276094673083" TargetMode="External" /></Relationships>
</file>

<file path=word/_rels/footnotes.xml.rels><?xml version="1.0" encoding="UTF-8"?><Relationships xmlns="http://schemas.openxmlformats.org/package/2006/relationships"><Relationship Type="http://schemas.openxmlformats.org/officeDocument/2006/relationships/hyperlink" Id="rId32" Target="https://blogs.nvidia.com/blog/nvidia-and-partners-build-in-america-for-america" TargetMode="External" /><Relationship Type="http://schemas.openxmlformats.org/officeDocument/2006/relationships/hyperlink" Id="rId31" Target="https://blogs.nvidia.com/blog/nvidia-unlocks-ai-compute-at-scale-capital-partners-to-power-ai-infrastructure-buildout" TargetMode="External" /><Relationship Type="http://schemas.openxmlformats.org/officeDocument/2006/relationships/hyperlink" Id="rId37" Target="https://www.cognitiverevolution.ai/1000-designs-a-day-neural-concept-s-thomas-von-tschammer-on-ai-native-engineering" TargetMode="External" /><Relationship Type="http://schemas.openxmlformats.org/officeDocument/2006/relationships/hyperlink" Id="rId38" Target="https://www.latent.space/p/the-coolest-diffusion-research-isnt" TargetMode="External" /><Relationship Type="http://schemas.openxmlformats.org/officeDocument/2006/relationships/hyperlink" Id="rId36" Target="https://www.youtube.com/watch?v=XbHeJL45USQ" TargetMode="External" /><Relationship Type="http://schemas.openxmlformats.org/officeDocument/2006/relationships/hyperlink" Id="rId28" Target="https://www.youtube.com/watch?v=kPfuP_OiC-U" TargetMode="External" /><Relationship Type="http://schemas.openxmlformats.org/officeDocument/2006/relationships/hyperlink" Id="rId29" Target="https://www.youtube.com/watch?v=zALv9fAk_Fw" TargetMode="External" /><Relationship Type="http://schemas.openxmlformats.org/officeDocument/2006/relationships/hyperlink" Id="rId30" Target="https://x.com/ClementDelangue/status/2072401982569025742" TargetMode="External" /><Relationship Type="http://schemas.openxmlformats.org/officeDocument/2006/relationships/hyperlink" Id="rId35" Target="https://x.com/GaryMarcus/status/2072307360803004418" TargetMode="External" /><Relationship Type="http://schemas.openxmlformats.org/officeDocument/2006/relationships/hyperlink" Id="rId34" Target="https://x.com/RihardJarc/status/2072298314905579631" TargetMode="External" /><Relationship Type="http://schemas.openxmlformats.org/officeDocument/2006/relationships/hyperlink" Id="rId33" Target="https://x.com/vipulved/status/20723212760946730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Warns on AI Concentration as Compute and Domain AI Push Ahead</dc:title>
  <dc:creator>AI News Digest</dc:creator>
  <cp:keywords/>
  <dcterms:created xsi:type="dcterms:W3CDTF">2026-07-02T18:24:05Z</dcterms:created>
  <dcterms:modified xsi:type="dcterms:W3CDTF">2026-07-02T18:24:05Z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2026-07-02</vt:lpwstr>
  </property>
</Properties>
</file>