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  <Override PartName="/word/media/rId9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Urea jumps on Hormuz risk as Brazil harvest delays reshape corn/soy decisions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2026-03-04</w:t>
      </w:r>
    </w:p>
    <w:bookmarkStart w:id="146" w:name="X253306ef4fb59ff6e5a1c302a5fe0e78f1d26d6"/>
    <w:p>
      <w:pPr>
        <w:pStyle w:val="Heading1"/>
      </w:pPr>
      <w:r>
        <w:t xml:space="preserve">Urea jumps on Hormuz risk as Brazil harvest delays reshape corn/soy decisions</w:t>
      </w:r>
    </w:p>
    <w:p>
      <w:pPr>
        <w:pStyle w:val="FirstParagraph"/>
      </w:pPr>
      <w:r>
        <w:rPr>
          <w:iCs/>
          <w:i/>
        </w:rPr>
        <w:t xml:space="preserve">By Global Agricultural Developments • March 4, 2026</w:t>
      </w:r>
    </w:p>
    <w:p>
      <w:pPr>
        <w:pStyle w:val="BodyText"/>
      </w:pPr>
      <w:r>
        <w:t xml:space="preserve">Fertilizer and grain markets reacted to Strait of Hormuz risk with sharp urea gains and renewed supply-timing concerns, while Brazil’s soybean harvest delays and regional weather issues continue to influence safrinha corn decisions. This digest also highlights actionable on-farm innovations—from biological nematode control and soybean variable-rate seeding to AI-driven livestock nutrition and genomic testing for heifer selection.</w:t>
      </w:r>
    </w:p>
    <w:bookmarkStart w:id="47" w:name="market-movers"/>
    <w:p>
      <w:pPr>
        <w:pStyle w:val="Heading2"/>
      </w:pPr>
      <w:r>
        <w:t xml:space="preserve">1) Market Movers</w:t>
      </w:r>
    </w:p>
    <w:bookmarkStart w:id="33" w:name="energy-geopolitics-feeding-into-ag"/>
    <w:p>
      <w:pPr>
        <w:pStyle w:val="Heading3"/>
      </w:pPr>
      <w:r>
        <w:t xml:space="preserve">Energy + geopolitics feeding into ag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Fertilizer reacted immediately to Middle East shipping risk.</w:t>
      </w:r>
      <w:r>
        <w:t xml:space="preserve"> </w:t>
      </w:r>
      <w:r>
        <w:t xml:space="preserve">In NOLA (New Orleans) physical barges for April,</w:t>
      </w:r>
      <w:r>
        <w:t xml:space="preserve"> </w:t>
      </w:r>
      <w:r>
        <w:rPr>
          <w:bCs/>
          <w:b/>
        </w:rPr>
        <w:t xml:space="preserve">urea traded at $457/ton Friday and around $550/ton Monday</w:t>
      </w:r>
      <w:r>
        <w:t xml:space="preserve"> </w:t>
      </w:r>
      <w:r>
        <w:t xml:space="preserve">(with commentary noting prices up roughly</w:t>
      </w:r>
      <w:r>
        <w:t xml:space="preserve"> </w:t>
      </w:r>
      <w:r>
        <w:rPr>
          <w:bCs/>
          <w:b/>
        </w:rPr>
        <w:t xml:space="preserve">$70–$93/ton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Phosphate was described as up about</w:t>
      </w:r>
      <w:r>
        <w:t xml:space="preserve"> </w:t>
      </w:r>
      <w:r>
        <w:rPr>
          <w:bCs/>
          <w:b/>
        </w:rPr>
        <w:t xml:space="preserve">$30/ton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, while</w:t>
      </w:r>
      <w:r>
        <w:t xml:space="preserve"> </w:t>
      </w:r>
      <w:r>
        <w:rPr>
          <w:bCs/>
          <w:b/>
        </w:rPr>
        <w:t xml:space="preserve">UAN and anhydrous ammonia</w:t>
      </w:r>
      <w:r>
        <w:t xml:space="preserve"> </w:t>
      </w:r>
      <w:r>
        <w:t xml:space="preserve">moved less sharply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potash</w:t>
      </w:r>
      <w:r>
        <w:t xml:space="preserve"> </w:t>
      </w:r>
      <w:r>
        <w:t xml:space="preserve">was said to be unaffected so far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Iran War Spikes Fertilizer Prices, Threatens Supplies for Planting Season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YEXOCuuqo4k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Iran War Spikes Fertilizer Prices, Threatens Supplies for Planting Season (1:15)</w:t>
      </w:r>
    </w:p>
    <w:p>
      <w:pPr>
        <w:numPr>
          <w:ilvl w:val="0"/>
          <w:numId w:val="1002"/>
        </w:numPr>
        <w:pStyle w:val="Compact"/>
      </w:pPr>
      <w:r>
        <w:t xml:space="preserve">Grain markets are also being pulled by the</w:t>
      </w:r>
      <w:r>
        <w:t xml:space="preserve"> </w:t>
      </w:r>
      <w:r>
        <w:rPr>
          <w:bCs/>
          <w:b/>
        </w:rPr>
        <w:t xml:space="preserve">biofuel/energy channel</w:t>
      </w:r>
      <w:r>
        <w:t xml:space="preserve">: one market recap highlighted soybean oil’s outperformance tied to crude strength amid the conflict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, and another framed soybean oil as up</w:t>
      </w:r>
      <w:r>
        <w:t xml:space="preserve"> </w:t>
      </w:r>
      <w:r>
        <w:rPr>
          <w:bCs/>
          <w:b/>
        </w:rPr>
        <w:t xml:space="preserve">$14.50 (+29.5%) since the end of last year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bookmarkEnd w:id="33"/>
    <w:bookmarkStart w:id="46" w:name="grains-price-action-demand-signals"/>
    <w:p>
      <w:pPr>
        <w:pStyle w:val="Heading3"/>
      </w:pPr>
      <w:r>
        <w:t xml:space="preserve">Grains: price action + demand signals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Futures levels cited in market coverage:</w:t>
      </w:r>
      <w:r>
        <w:t xml:space="preserve"> </w:t>
      </w:r>
      <w:r>
        <w:t xml:space="preserve">May corn</w:t>
      </w:r>
      <w:r>
        <w:t xml:space="preserve"> </w:t>
      </w:r>
      <w:r>
        <w:rPr>
          <w:bCs/>
          <w:b/>
        </w:rPr>
        <w:t xml:space="preserve">451¾</w:t>
      </w:r>
      <w:r>
        <w:t xml:space="preserve"> </w:t>
      </w:r>
      <w:r>
        <w:t xml:space="preserve">(+6¢), May soybeans</w:t>
      </w:r>
      <w:r>
        <w:t xml:space="preserve"> </w:t>
      </w:r>
      <w:r>
        <w:rPr>
          <w:bCs/>
          <w:b/>
        </w:rPr>
        <w:t xml:space="preserve">1182½</w:t>
      </w:r>
      <w:r>
        <w:t xml:space="preserve"> </w:t>
      </w:r>
      <w:r>
        <w:t xml:space="preserve">(+18½¢), May Chicago wheat</w:t>
      </w:r>
      <w:r>
        <w:t xml:space="preserve"> </w:t>
      </w:r>
      <w:r>
        <w:rPr>
          <w:bCs/>
          <w:b/>
        </w:rPr>
        <w:t xml:space="preserve">584</w:t>
      </w:r>
      <w:r>
        <w:t xml:space="preserve"> </w:t>
      </w:r>
      <w:r>
        <w:t xml:space="preserve">(+6¾¢), May Kansas City wheat</w:t>
      </w:r>
      <w:r>
        <w:t xml:space="preserve"> </w:t>
      </w:r>
      <w:r>
        <w:rPr>
          <w:bCs/>
          <w:b/>
        </w:rPr>
        <w:t xml:space="preserve">583½</w:t>
      </w:r>
      <w:r>
        <w:t xml:space="preserve"> </w:t>
      </w:r>
      <w:r>
        <w:t xml:space="preserve">(+8¾¢), and May spring wheat</w:t>
      </w:r>
      <w:r>
        <w:t xml:space="preserve"> </w:t>
      </w:r>
      <w:r>
        <w:rPr>
          <w:bCs/>
          <w:b/>
        </w:rPr>
        <w:t xml:space="preserve">613¾</w:t>
      </w:r>
      <w:r>
        <w:t xml:space="preserve"> </w:t>
      </w:r>
      <w:r>
        <w:t xml:space="preserve">(+3¾¢)</w:t>
      </w:r>
      <w:r>
        <w:t xml:space="preserve"> </w:t>
      </w:r>
      <w:r>
        <w:rPr>
          <w:rStyle w:val="FootnoteReference"/>
        </w:rPr>
        <w:footnoteReference w:id="34"/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6"/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8"/>
      </w:r>
      <w:r>
        <w:t xml:space="preserve">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 export inspections (week ending Feb 26):</w:t>
      </w:r>
    </w:p>
    <w:p>
      <w:pPr>
        <w:numPr>
          <w:ilvl w:val="1"/>
          <w:numId w:val="1004"/>
        </w:numPr>
        <w:pStyle w:val="Compact"/>
      </w:pPr>
      <w:r>
        <w:t xml:space="preserve">Corn:</w:t>
      </w:r>
      <w:r>
        <w:t xml:space="preserve"> </w:t>
      </w:r>
      <w:r>
        <w:rPr>
          <w:bCs/>
          <w:b/>
        </w:rPr>
        <w:t xml:space="preserve">73M bushels</w:t>
      </w:r>
      <w:r>
        <w:t xml:space="preserve"> </w:t>
      </w:r>
      <w:r>
        <w:t xml:space="preserve">(down 8% vs prior week,</w:t>
      </w:r>
      <w:r>
        <w:t xml:space="preserve"> </w:t>
      </w:r>
      <w:r>
        <w:rPr>
          <w:bCs/>
          <w:b/>
        </w:rPr>
        <w:t xml:space="preserve">up 37% YoY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9"/>
      </w:r>
    </w:p>
    <w:p>
      <w:pPr>
        <w:numPr>
          <w:ilvl w:val="1"/>
          <w:numId w:val="1004"/>
        </w:numPr>
        <w:pStyle w:val="Compact"/>
      </w:pPr>
      <w:r>
        <w:t xml:space="preserve">Soybeans:</w:t>
      </w:r>
      <w:r>
        <w:t xml:space="preserve"> </w:t>
      </w:r>
      <w:r>
        <w:rPr>
          <w:bCs/>
          <w:b/>
        </w:rPr>
        <w:t xml:space="preserve">42M bushels</w:t>
      </w:r>
      <w:r>
        <w:t xml:space="preserve"> </w:t>
      </w:r>
      <w:r>
        <w:t xml:space="preserve">(</w:t>
      </w:r>
      <w:r>
        <w:rPr>
          <w:bCs/>
          <w:b/>
        </w:rPr>
        <w:t xml:space="preserve">up 67%</w:t>
      </w:r>
      <w:r>
        <w:t xml:space="preserve"> </w:t>
      </w:r>
      <w:r>
        <w:t xml:space="preserve">vs prior week,</w:t>
      </w:r>
      <w:r>
        <w:t xml:space="preserve"> </w:t>
      </w:r>
      <w:r>
        <w:rPr>
          <w:bCs/>
          <w:b/>
        </w:rPr>
        <w:t xml:space="preserve">up 62% YoY</w:t>
      </w:r>
      <w:r>
        <w:t xml:space="preserve">);</w:t>
      </w:r>
      <w:r>
        <w:t xml:space="preserve"> </w:t>
      </w:r>
      <w:r>
        <w:rPr>
          <w:bCs/>
          <w:b/>
        </w:rPr>
        <w:t xml:space="preserve">China accounted for ~65%</w:t>
      </w:r>
      <w:r>
        <w:t xml:space="preserve"> </w:t>
      </w:r>
      <w:r>
        <w:t xml:space="preserve">of inspections</w:t>
      </w:r>
      <w:r>
        <w:t xml:space="preserve"> </w:t>
      </w:r>
      <w:r>
        <w:rPr>
          <w:rStyle w:val="FootnoteReference"/>
        </w:rPr>
        <w:footnoteReference w:id="40"/>
      </w:r>
    </w:p>
    <w:p>
      <w:pPr>
        <w:numPr>
          <w:ilvl w:val="1"/>
          <w:numId w:val="1004"/>
        </w:numPr>
        <w:pStyle w:val="Compact"/>
      </w:pPr>
      <w:r>
        <w:t xml:space="preserve">Wheat:</w:t>
      </w:r>
      <w:r>
        <w:t xml:space="preserve"> </w:t>
      </w:r>
      <w:r>
        <w:rPr>
          <w:bCs/>
          <w:b/>
        </w:rPr>
        <w:t xml:space="preserve">13M bushels</w:t>
      </w:r>
      <w:r>
        <w:t xml:space="preserve"> </w:t>
      </w:r>
      <w:r>
        <w:t xml:space="preserve">(down 39% vs prior week;</w:t>
      </w:r>
      <w:r>
        <w:t xml:space="preserve"> </w:t>
      </w:r>
      <w:r>
        <w:rPr>
          <w:bCs/>
          <w:b/>
        </w:rPr>
        <w:t xml:space="preserve">down 12% YoY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41"/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Spain demand + policy headline risk:</w:t>
      </w:r>
      <w:r>
        <w:t xml:space="preserve"> </w:t>
      </w:r>
      <w:r>
        <w:t xml:space="preserve">Spain has bought</w:t>
      </w:r>
      <w:r>
        <w:t xml:space="preserve"> </w:t>
      </w:r>
      <w:r>
        <w:rPr>
          <w:bCs/>
          <w:b/>
        </w:rPr>
        <w:t xml:space="preserve">2.4 MMT of corn</w:t>
      </w:r>
      <w:r>
        <w:t xml:space="preserve"> </w:t>
      </w:r>
      <w:r>
        <w:t xml:space="preserve">so far this year (up</w:t>
      </w:r>
      <w:r>
        <w:t xml:space="preserve"> </w:t>
      </w:r>
      <w:r>
        <w:rPr>
          <w:bCs/>
          <w:b/>
        </w:rPr>
        <w:t xml:space="preserve">1 MMT</w:t>
      </w:r>
      <w:r>
        <w:t xml:space="preserve"> </w:t>
      </w:r>
      <w:r>
        <w:t xml:space="preserve">vs last year) with about</w:t>
      </w:r>
      <w:r>
        <w:t xml:space="preserve"> </w:t>
      </w:r>
      <w:r>
        <w:rPr>
          <w:bCs/>
          <w:b/>
        </w:rPr>
        <w:t xml:space="preserve">225,000 MT</w:t>
      </w:r>
      <w:r>
        <w:t xml:space="preserve"> </w:t>
      </w:r>
      <w:r>
        <w:t xml:space="preserve">still waiting to ship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 Separately, a post quoted Trump as saying:</w:t>
      </w:r>
      <w:r>
        <w:t xml:space="preserve"> </w:t>
      </w:r>
      <w:r>
        <w:t xml:space="preserve">“</w:t>
      </w:r>
      <w:r>
        <w:rPr>
          <w:bCs/>
          <w:b/>
        </w:rPr>
        <w:t xml:space="preserve">SPAIN HAS BEEN TERRIBLE, I TOLD BESSENT TO CUT OFF ALL DEALING WITH SPAIN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4"/>
      </w:r>
      <w:r>
        <w:t xml:space="preserve">.</w:t>
      </w:r>
    </w:p>
    <w:bookmarkEnd w:id="46"/>
    <w:bookmarkEnd w:id="47"/>
    <w:bookmarkStart w:id="67" w:name="innovation-spotlight"/>
    <w:p>
      <w:pPr>
        <w:pStyle w:val="Heading2"/>
      </w:pPr>
      <w:r>
        <w:t xml:space="preserve">2) Innovation Spotlight</w:t>
      </w:r>
    </w:p>
    <w:bookmarkStart w:id="54" w:name="Xb1ffb2e6250f45813c8e24a9bdbef5b092720e0"/>
    <w:p>
      <w:pPr>
        <w:pStyle w:val="Heading3"/>
      </w:pPr>
      <w:r>
        <w:t xml:space="preserve">Biological nematode control in soybeans (US/Brazil retail rollout)</w:t>
      </w:r>
    </w:p>
    <w:p>
      <w:pPr>
        <w:numPr>
          <w:ilvl w:val="0"/>
          <w:numId w:val="1005"/>
        </w:numPr>
        <w:pStyle w:val="Compact"/>
      </w:pPr>
      <w:r>
        <w:t xml:space="preserve">Indigo Ag’s</w:t>
      </w:r>
      <w:r>
        <w:t xml:space="preserve"> </w:t>
      </w:r>
      <w:r>
        <w:rPr>
          <w:bCs/>
          <w:b/>
        </w:rPr>
        <w:t xml:space="preserve">Biotrinsic Nemora FP</w:t>
      </w:r>
      <w:r>
        <w:t xml:space="preserve"> </w:t>
      </w:r>
      <w:r>
        <w:t xml:space="preserve">(biological nematicide) won</w:t>
      </w:r>
      <w:r>
        <w:t xml:space="preserve"> </w:t>
      </w:r>
      <w:r>
        <w:rPr>
          <w:bCs/>
          <w:b/>
        </w:rPr>
        <w:t xml:space="preserve">The Scoop’s 2025 New Product of the Year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50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Mechanism &amp; measured efficacy:</w:t>
      </w:r>
      <w:r>
        <w:t xml:space="preserve"> </w:t>
      </w:r>
      <w:r>
        <w:t xml:space="preserve">a bacterial seed treatment that grows with the plant and</w:t>
      </w:r>
      <w:r>
        <w:t xml:space="preserve"> </w:t>
      </w:r>
      <w:r>
        <w:rPr>
          <w:bCs/>
          <w:b/>
        </w:rPr>
        <w:t xml:space="preserve">reduces soybean cyst nematode (SCN) egg hatch by ~70%</w:t>
      </w:r>
      <w:r>
        <w:t xml:space="preserve">; the discussion notes</w:t>
      </w:r>
      <w:r>
        <w:t xml:space="preserve"> </w:t>
      </w:r>
      <w:r>
        <w:rPr>
          <w:bCs/>
          <w:b/>
        </w:rPr>
        <w:t xml:space="preserve">4–6 nematode life cycles per season</w:t>
      </w:r>
      <w:r>
        <w:t xml:space="preserve"> </w:t>
      </w:r>
      <w:r>
        <w:t xml:space="preserve">and describes the compounding effect across cycles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 &amp; handling metrics:</w:t>
      </w:r>
      <w:r>
        <w:t xml:space="preserve"> </w:t>
      </w:r>
      <w:r>
        <w:t xml:space="preserve">applied as a flowable powder dry planter-box treatment at</w:t>
      </w:r>
      <w:r>
        <w:t xml:space="preserve"> </w:t>
      </w:r>
      <w:r>
        <w:rPr>
          <w:bCs/>
          <w:b/>
        </w:rPr>
        <w:t xml:space="preserve">1 oz/cwt</w:t>
      </w:r>
      <w:r>
        <w:t xml:space="preserve"> </w:t>
      </w:r>
      <w:r>
        <w:t xml:space="preserve">at planting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; product shelf life described as</w:t>
      </w:r>
      <w:r>
        <w:t xml:space="preserve"> </w:t>
      </w:r>
      <w:r>
        <w:rPr>
          <w:bCs/>
          <w:b/>
        </w:rPr>
        <w:t xml:space="preserve">18–24 months at room temperature</w:t>
      </w:r>
      <w:r>
        <w:t xml:space="preserve">, with</w:t>
      </w:r>
      <w:r>
        <w:t xml:space="preserve"> </w:t>
      </w:r>
      <w:r>
        <w:rPr>
          <w:bCs/>
          <w:b/>
        </w:rPr>
        <w:t xml:space="preserve">on-seed planting windows from 60 days up to 1 year</w:t>
      </w:r>
      <w:r>
        <w:t xml:space="preserve"> </w:t>
      </w:r>
      <w:r>
        <w:t xml:space="preserve">(by product)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bookmarkEnd w:id="54"/>
    <w:bookmarkStart w:id="60" w:name="X1a59be5a9f89683e4ef66ceef866545b0ecdc6a"/>
    <w:p>
      <w:pPr>
        <w:pStyle w:val="Heading3"/>
      </w:pPr>
      <w:r>
        <w:t xml:space="preserve">AI-assisted nutrition decisions in poultry and swine (Brazil)</w:t>
      </w:r>
    </w:p>
    <w:p>
      <w:pPr>
        <w:numPr>
          <w:ilvl w:val="0"/>
          <w:numId w:val="1006"/>
        </w:numPr>
        <w:pStyle w:val="Compact"/>
      </w:pPr>
      <w:r>
        <w:t xml:space="preserve">A segment on animal production described AI systems that integrate</w:t>
      </w:r>
      <w:r>
        <w:t xml:space="preserve"> </w:t>
      </w:r>
      <w:r>
        <w:rPr>
          <w:bCs/>
          <w:b/>
        </w:rPr>
        <w:t xml:space="preserve">feed intake, weight gain, feed conversion, water consumption, barn environment, health history, and ingredient quality</w:t>
      </w:r>
      <w:r>
        <w:t xml:space="preserve"> </w:t>
      </w:r>
      <w:r>
        <w:t xml:space="preserve">to spot patterns and</w:t>
      </w:r>
      <w:r>
        <w:t xml:space="preserve"> </w:t>
      </w:r>
      <w:r>
        <w:rPr>
          <w:bCs/>
          <w:b/>
        </w:rPr>
        <w:t xml:space="preserve">flag issues early</w:t>
      </w:r>
      <w:r>
        <w:t xml:space="preserve"> </w:t>
      </w:r>
      <w:r>
        <w:t xml:space="preserve">(e.g., subtle intake drops plus rising bird temperature)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Reported operational benefit:</w:t>
      </w:r>
      <w:r>
        <w:t xml:space="preserve"> </w:t>
      </w:r>
      <w:r>
        <w:rPr>
          <w:bCs/>
          <w:b/>
        </w:rPr>
        <w:t xml:space="preserve">earlier diet/formulation adjustment</w:t>
      </w:r>
      <w:r>
        <w:t xml:space="preserve">, avoiding performance loss and</w:t>
      </w:r>
      <w:r>
        <w:t xml:space="preserve"> </w:t>
      </w:r>
      <w:r>
        <w:rPr>
          <w:bCs/>
          <w:b/>
        </w:rPr>
        <w:t xml:space="preserve">reducing waste</w:t>
      </w:r>
      <w:r>
        <w:t xml:space="preserve"> </w:t>
      </w:r>
      <w:r>
        <w:rPr>
          <w:rStyle w:val="FootnoteReference"/>
        </w:rPr>
        <w:footnoteReference w:id="57"/>
      </w:r>
      <w:r>
        <w:rPr>
          <w:rStyle w:val="FootnoteReference"/>
        </w:rPr>
        <w:footnoteReference w:id="58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Implementation constraints called out:</w:t>
      </w:r>
      <w:r>
        <w:t xml:space="preserve"> </w:t>
      </w:r>
      <w:r>
        <w:rPr>
          <w:bCs/>
          <w:b/>
        </w:rPr>
        <w:t xml:space="preserve">data quality, system integration, tech access, and trained staff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bookmarkEnd w:id="60"/>
    <w:bookmarkStart w:id="66" w:name="Xc213a818dd8624518ec634879ecabc31a7ae8b0"/>
    <w:p>
      <w:pPr>
        <w:pStyle w:val="Heading3"/>
      </w:pPr>
      <w:r>
        <w:t xml:space="preserve">Genomic testing for replacement-heifer selection (US beef)</w:t>
      </w:r>
    </w:p>
    <w:p>
      <w:pPr>
        <w:numPr>
          <w:ilvl w:val="0"/>
          <w:numId w:val="1007"/>
        </w:numPr>
        <w:pStyle w:val="Compact"/>
      </w:pPr>
      <w:r>
        <w:t xml:space="preserve">Zoetis’</w:t>
      </w:r>
      <w:r>
        <w:t xml:space="preserve"> </w:t>
      </w:r>
      <w:r>
        <w:rPr>
          <w:bCs/>
          <w:b/>
        </w:rPr>
        <w:t xml:space="preserve">Inherit Select</w:t>
      </w:r>
      <w:r>
        <w:t xml:space="preserve"> </w:t>
      </w:r>
      <w:r>
        <w:t xml:space="preserve">genomic testing is presented as a way for commercial producers to select replacements beyond</w:t>
      </w:r>
      <w:r>
        <w:t xml:space="preserve"> </w:t>
      </w:r>
      <w:r>
        <w:t xml:space="preserve">“</w:t>
      </w:r>
      <w:r>
        <w:t xml:space="preserve">looks,</w:t>
      </w:r>
      <w:r>
        <w:t xml:space="preserve">”</w:t>
      </w:r>
      <w:r>
        <w:t xml:space="preserve"> </w:t>
      </w:r>
      <w:r>
        <w:t xml:space="preserve">including traits like</w:t>
      </w:r>
      <w:r>
        <w:t xml:space="preserve"> </w:t>
      </w:r>
      <w:r>
        <w:rPr>
          <w:bCs/>
          <w:b/>
        </w:rPr>
        <w:t xml:space="preserve">cow fertility</w:t>
      </w:r>
      <w:r>
        <w:t xml:space="preserve"> </w:t>
      </w:r>
      <w:r>
        <w:t xml:space="preserve">(lifetime calves up to 9 years),</w:t>
      </w:r>
      <w:r>
        <w:t xml:space="preserve"> </w:t>
      </w:r>
      <w:r>
        <w:rPr>
          <w:bCs/>
          <w:b/>
        </w:rPr>
        <w:t xml:space="preserve">feed efficiency</w:t>
      </w:r>
      <w:r>
        <w:t xml:space="preserve">, and</w:t>
      </w:r>
      <w:r>
        <w:t xml:space="preserve"> </w:t>
      </w:r>
      <w:r>
        <w:rPr>
          <w:bCs/>
          <w:b/>
        </w:rPr>
        <w:t xml:space="preserve">BRD health/survival</w:t>
      </w:r>
      <w:r>
        <w:t xml:space="preserve"> </w:t>
      </w:r>
      <w:r>
        <w:rPr>
          <w:rStyle w:val="FootnoteReference"/>
        </w:rPr>
        <w:footnoteReference w:id="61"/>
      </w:r>
      <w:r>
        <w:rPr>
          <w:rStyle w:val="FootnoteReference"/>
        </w:rPr>
        <w:footnoteReference w:id="63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Operational timeline &amp; economics:</w:t>
      </w:r>
      <w:r>
        <w:t xml:space="preserve"> </w:t>
      </w:r>
      <w:r>
        <w:t xml:space="preserve">turnaround advised at roughly</w:t>
      </w:r>
      <w:r>
        <w:t xml:space="preserve"> </w:t>
      </w:r>
      <w:r>
        <w:rPr>
          <w:bCs/>
          <w:b/>
        </w:rPr>
        <w:t xml:space="preserve">30 days</w:t>
      </w:r>
      <w:r>
        <w:t xml:space="preserve">, with testing ideally</w:t>
      </w:r>
      <w:r>
        <w:t xml:space="preserve"> </w:t>
      </w:r>
      <w:r>
        <w:rPr>
          <w:bCs/>
          <w:b/>
        </w:rPr>
        <w:t xml:space="preserve">as early as possible</w:t>
      </w:r>
      <w:r>
        <w:t xml:space="preserve"> </w:t>
      </w:r>
      <w:r>
        <w:t xml:space="preserve">but at least</w:t>
      </w:r>
      <w:r>
        <w:t xml:space="preserve"> </w:t>
      </w:r>
      <w:r>
        <w:rPr>
          <w:bCs/>
          <w:b/>
        </w:rPr>
        <w:t xml:space="preserve">30 days before</w:t>
      </w:r>
      <w:r>
        <w:t xml:space="preserve"> </w:t>
      </w:r>
      <w:r>
        <w:t xml:space="preserve">the first keep/sell decision point (e.g., branding/weaning)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 ROI was characterized as</w:t>
      </w:r>
      <w:r>
        <w:t xml:space="preserve"> </w:t>
      </w:r>
      <w:r>
        <w:rPr>
          <w:bCs/>
          <w:b/>
        </w:rPr>
        <w:t xml:space="preserve">3–4:1 or higher</w:t>
      </w:r>
      <w:r>
        <w:t xml:space="preserve"> </w:t>
      </w:r>
      <w:r>
        <w:t xml:space="preserve">in their experience/modeling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bookmarkEnd w:id="66"/>
    <w:bookmarkEnd w:id="67"/>
    <w:bookmarkStart w:id="89" w:name="regional-developments"/>
    <w:p>
      <w:pPr>
        <w:pStyle w:val="Heading2"/>
      </w:pPr>
      <w:r>
        <w:t xml:space="preserve">3) Regional Developments</w:t>
      </w:r>
    </w:p>
    <w:bookmarkStart w:id="75" w:name="X1212bd82049e68a3050489b6dd42e309f2e3be1"/>
    <w:p>
      <w:pPr>
        <w:pStyle w:val="Heading3"/>
      </w:pPr>
      <w:r>
        <w:t xml:space="preserve">Brazil (Mato Grosso): excess rain delays soy, compresses safrinha corn window</w:t>
      </w:r>
    </w:p>
    <w:p>
      <w:pPr>
        <w:numPr>
          <w:ilvl w:val="0"/>
          <w:numId w:val="1008"/>
        </w:numPr>
        <w:pStyle w:val="Compact"/>
      </w:pPr>
      <w:r>
        <w:t xml:space="preserve">In northern Mato Grosso (Peixoto de Azevedo, Matupá, Marcelândia), reporting described</w:t>
      </w:r>
      <w:r>
        <w:t xml:space="preserve"> </w:t>
      </w:r>
      <w:r>
        <w:rPr>
          <w:bCs/>
          <w:b/>
        </w:rPr>
        <w:t xml:space="preserve">atypical precipitation</w:t>
      </w:r>
      <w:r>
        <w:t xml:space="preserve"> </w:t>
      </w:r>
      <w:r>
        <w:t xml:space="preserve">that waterlogged soils and damaged infrastructure, slowing soybean harvest and pressuring second-crop corn planting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Marcelândia details included: about</w:t>
      </w:r>
      <w:r>
        <w:t xml:space="preserve"> </w:t>
      </w:r>
      <w:r>
        <w:rPr>
          <w:bCs/>
          <w:b/>
        </w:rPr>
        <w:t xml:space="preserve">35% of 200,000 ha</w:t>
      </w:r>
      <w:r>
        <w:t xml:space="preserve"> </w:t>
      </w:r>
      <w:r>
        <w:t xml:space="preserve">still unharvested, an emergency declaration, and rainfall projected near</w:t>
      </w:r>
      <w:r>
        <w:t xml:space="preserve"> </w:t>
      </w:r>
      <w:r>
        <w:rPr>
          <w:bCs/>
          <w:b/>
        </w:rPr>
        <w:t xml:space="preserve">3,000 mm</w:t>
      </w:r>
      <w:r>
        <w:t xml:space="preserve"> </w:t>
      </w:r>
      <w:r>
        <w:t xml:space="preserve">versus an average</w:t>
      </w:r>
      <w:r>
        <w:t xml:space="preserve"> </w:t>
      </w:r>
      <w:r>
        <w:rPr>
          <w:bCs/>
          <w:b/>
        </w:rPr>
        <w:t xml:space="preserve">1,800–2,000 mm</w:t>
      </w:r>
      <w:r>
        <w:t xml:space="preserve"> </w:t>
      </w:r>
      <w:r>
        <w:rPr>
          <w:rStyle w:val="FootnoteReference"/>
        </w:rPr>
        <w:footnoteReference w:id="70"/>
      </w:r>
      <w:r>
        <w:rPr>
          <w:rStyle w:val="FootnoteReference"/>
        </w:rPr>
        <w:footnoteReference w:id="71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Producer-reported impacts included soybean losses of</w:t>
      </w:r>
      <w:r>
        <w:t xml:space="preserve"> </w:t>
      </w:r>
      <w:r>
        <w:rPr>
          <w:bCs/>
          <w:b/>
        </w:rPr>
        <w:t xml:space="preserve">8–10 sacks/ha</w:t>
      </w:r>
      <w:r>
        <w:t xml:space="preserve"> </w:t>
      </w:r>
      <w:r>
        <w:t xml:space="preserve">(from an expected 75–80)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 </w:t>
      </w:r>
      <w:r>
        <w:t xml:space="preserve">and corn area reductions around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tied to a</w:t>
      </w:r>
      <w:r>
        <w:t xml:space="preserve"> </w:t>
      </w:r>
      <w:r>
        <w:rPr>
          <w:bCs/>
          <w:b/>
        </w:rPr>
        <w:t xml:space="preserve">~10-day delay</w:t>
      </w:r>
      <w:r>
        <w:t xml:space="preserve"> </w:t>
      </w:r>
      <w:r>
        <w:t xml:space="preserve">beyond the ideal planting window</w:t>
      </w:r>
      <w:r>
        <w:t xml:space="preserve"> </w:t>
      </w:r>
      <w:r>
        <w:rPr>
          <w:rStyle w:val="FootnoteReference"/>
        </w:rPr>
        <w:footnoteReference w:id="73"/>
      </w:r>
      <w:r>
        <w:rPr>
          <w:rStyle w:val="FootnoteReference"/>
        </w:rPr>
        <w:footnoteReference w:id="74"/>
      </w:r>
      <w:r>
        <w:t xml:space="preserve">.</w:t>
      </w:r>
    </w:p>
    <w:bookmarkEnd w:id="75"/>
    <w:bookmarkStart w:id="79" w:name="Xc207fbcaa769498a33d58ea02d6ed6a4ff8701d"/>
    <w:p>
      <w:pPr>
        <w:pStyle w:val="Heading3"/>
      </w:pPr>
      <w:r>
        <w:t xml:space="preserve">Brazil (national): harvest still behind pace despite some drying</w:t>
      </w:r>
    </w:p>
    <w:p>
      <w:pPr>
        <w:numPr>
          <w:ilvl w:val="0"/>
          <w:numId w:val="1009"/>
        </w:numPr>
        <w:pStyle w:val="Compact"/>
      </w:pPr>
      <w:r>
        <w:t xml:space="preserve">Conab-linked coverage described national soybean harvest</w:t>
      </w:r>
      <w:r>
        <w:t xml:space="preserve"> </w:t>
      </w:r>
      <w:r>
        <w:rPr>
          <w:bCs/>
          <w:b/>
        </w:rPr>
        <w:t xml:space="preserve">~7% behind last year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10% behind the 5-year average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 Reported state gaps included Maranhão around</w:t>
      </w:r>
      <w:r>
        <w:t xml:space="preserve"> </w:t>
      </w:r>
      <w:r>
        <w:rPr>
          <w:bCs/>
          <w:b/>
        </w:rPr>
        <w:t xml:space="preserve">31%</w:t>
      </w:r>
      <w:r>
        <w:t xml:space="preserve"> </w:t>
      </w:r>
      <w:r>
        <w:t xml:space="preserve">behind, with delays of</w:t>
      </w:r>
      <w:r>
        <w:t xml:space="preserve"> </w:t>
      </w:r>
      <w:r>
        <w:rPr>
          <w:bCs/>
          <w:b/>
        </w:rPr>
        <w:t xml:space="preserve">10–15%</w:t>
      </w:r>
      <w:r>
        <w:t xml:space="preserve"> </w:t>
      </w:r>
      <w:r>
        <w:t xml:space="preserve">in Minas Gerais and Goiás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bookmarkEnd w:id="79"/>
    <w:bookmarkStart w:id="83" w:name="X03aadfcd7c57127d288c8110ce9d4dc09aff159"/>
    <w:p>
      <w:pPr>
        <w:pStyle w:val="Heading3"/>
      </w:pPr>
      <w:r>
        <w:t xml:space="preserve">Brazil (south): drought-driven soybean crop downgrades</w:t>
      </w:r>
    </w:p>
    <w:p>
      <w:pPr>
        <w:numPr>
          <w:ilvl w:val="0"/>
          <w:numId w:val="1010"/>
        </w:numPr>
        <w:pStyle w:val="Compact"/>
      </w:pPr>
      <w:r>
        <w:t xml:space="preserve">Market commentary cited crop cuts attributed to</w:t>
      </w:r>
      <w:r>
        <w:t xml:space="preserve"> </w:t>
      </w:r>
      <w:r>
        <w:rPr>
          <w:bCs/>
          <w:b/>
        </w:rPr>
        <w:t xml:space="preserve">southern Brazil drought</w:t>
      </w:r>
      <w:r>
        <w:t xml:space="preserve">: AgRural at</w:t>
      </w:r>
      <w:r>
        <w:t xml:space="preserve"> </w:t>
      </w:r>
      <w:r>
        <w:rPr>
          <w:bCs/>
          <w:b/>
        </w:rPr>
        <w:t xml:space="preserve">178 MMT</w:t>
      </w:r>
      <w:r>
        <w:t xml:space="preserve"> </w:t>
      </w:r>
      <w:r>
        <w:t xml:space="preserve">(from 181)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 </w:t>
      </w:r>
      <w:r>
        <w:t xml:space="preserve">and StoneX at</w:t>
      </w:r>
      <w:r>
        <w:t xml:space="preserve"> </w:t>
      </w:r>
      <w:r>
        <w:rPr>
          <w:bCs/>
          <w:b/>
        </w:rPr>
        <w:t xml:space="preserve">177.8 MMT</w:t>
      </w:r>
      <w:r>
        <w:t xml:space="preserve"> </w:t>
      </w:r>
      <w:r>
        <w:t xml:space="preserve">(from 181.6)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, with examples of rainfall at</w:t>
      </w:r>
      <w:r>
        <w:t xml:space="preserve"> </w:t>
      </w:r>
      <w:r>
        <w:rPr>
          <w:bCs/>
          <w:b/>
        </w:rPr>
        <w:t xml:space="preserve">60% of normal</w:t>
      </w:r>
      <w:r>
        <w:t xml:space="preserve"> </w:t>
      </w:r>
      <w:r>
        <w:t xml:space="preserve">in Paraná over 30 days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bookmarkEnd w:id="83"/>
    <w:bookmarkStart w:id="88" w:name="X4028cc4453645dc6946a5f299e745be30053e65"/>
    <w:p>
      <w:pPr>
        <w:pStyle w:val="Heading3"/>
      </w:pPr>
      <w:r>
        <w:t xml:space="preserve">Mercosur rice: weak pricing + expected area reductions</w:t>
      </w:r>
    </w:p>
    <w:p>
      <w:pPr>
        <w:numPr>
          <w:ilvl w:val="0"/>
          <w:numId w:val="1011"/>
        </w:numPr>
        <w:pStyle w:val="Compact"/>
      </w:pPr>
      <w:r>
        <w:t xml:space="preserve">An outlook for rice producers described</w:t>
      </w:r>
      <w:r>
        <w:t xml:space="preserve"> </w:t>
      </w:r>
      <w:r>
        <w:rPr>
          <w:bCs/>
          <w:b/>
        </w:rPr>
        <w:t xml:space="preserve">low prices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poor yields</w:t>
      </w:r>
      <w:r>
        <w:t xml:space="preserve"> </w:t>
      </w:r>
      <w:r>
        <w:t xml:space="preserve">in 2026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6"/>
      </w:r>
      <w:r>
        <w:t xml:space="preserve">, with expectations of about a</w:t>
      </w:r>
      <w:r>
        <w:t xml:space="preserve"> </w:t>
      </w:r>
      <w:r>
        <w:rPr>
          <w:bCs/>
          <w:b/>
        </w:rPr>
        <w:t xml:space="preserve">19% rice area reduction</w:t>
      </w:r>
      <w:r>
        <w:t xml:space="preserve"> </w:t>
      </w:r>
      <w:r>
        <w:t xml:space="preserve">across Mercosur countries by 2028 as producers shift into other options (soy, corn, livestock)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.</w:t>
      </w:r>
    </w:p>
    <w:bookmarkEnd w:id="88"/>
    <w:bookmarkEnd w:id="89"/>
    <w:bookmarkStart w:id="110" w:name="best-practices-actionable"/>
    <w:p>
      <w:pPr>
        <w:pStyle w:val="Heading2"/>
      </w:pPr>
      <w:r>
        <w:t xml:space="preserve">4) Best Practices (actionable)</w:t>
      </w:r>
    </w:p>
    <w:bookmarkStart w:id="100" w:name="grains-oilseeds"/>
    <w:p>
      <w:pPr>
        <w:pStyle w:val="Heading3"/>
      </w:pPr>
      <w:r>
        <w:t xml:space="preserve">Grains &amp; oilseeds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Variable-rate soybeans (think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opposite of corn</w:t>
      </w:r>
      <w:r>
        <w:rPr>
          <w:bCs/>
          <w:b/>
        </w:rPr>
        <w:t xml:space="preserve">”</w:t>
      </w:r>
      <w:r>
        <w:rPr>
          <w:bCs/>
          <w:b/>
        </w:rPr>
        <w:t xml:space="preserve">).</w:t>
      </w:r>
      <w:r>
        <w:t xml:space="preserve"> </w:t>
      </w:r>
      <w:r>
        <w:t xml:space="preserve">Ag PhD recommended lowering seeding rates in the best zones (example:</w:t>
      </w:r>
      <w:r>
        <w:t xml:space="preserve"> </w:t>
      </w:r>
      <w:r>
        <w:rPr>
          <w:vertAlign w:val="subscript"/>
          <w:bCs/>
          <w:b/>
        </w:rPr>
        <w:t xml:space="preserve">120,000</w:t>
      </w:r>
      <w:r>
        <w:rPr>
          <w:bCs/>
          <w:b/>
          <w:vertAlign w:val="subscript"/>
          <w:bCs/>
          <w:b/>
        </w:rPr>
        <w:t xml:space="preserve">) to shorten plants, improve standability, and increase airflow to reduce disease pressure; and raising rates in poorer/IDC areas (example:</w:t>
      </w:r>
      <w:r>
        <w:rPr>
          <w:bCs/>
          <w:b/>
          <w:vertAlign w:val="subscript"/>
          <w:bCs/>
          <w:b/>
        </w:rPr>
        <w:t xml:space="preserve"> </w:t>
      </w:r>
      <w:r>
        <w:rPr>
          <w:bCs/>
          <w:b/>
        </w:rPr>
        <w:t xml:space="preserve">160,000–180,000</w:t>
      </w:r>
      <w:r>
        <w:t xml:space="preserve">) to push height for better weed control and potentially reduce IDC via greater root acid exudation and nutrient availability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 They also noted variable seeding</w:t>
      </w:r>
      <w:r>
        <w:t xml:space="preserve"> </w:t>
      </w:r>
      <w:r>
        <w:rPr>
          <w:bCs/>
          <w:b/>
        </w:rPr>
        <w:t xml:space="preserve">should not increase total seed cost</w:t>
      </w:r>
      <w:r>
        <w:t xml:space="preserve"> </w:t>
      </w:r>
      <w:r>
        <w:t xml:space="preserve">(reallocating dollars by zone)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Soybean inoculation + nodulation check.</w:t>
      </w:r>
      <w:r>
        <w:t xml:space="preserve"> </w:t>
      </w:r>
      <w:r>
        <w:t xml:space="preserve">Ag PhD described inoculation as putting</w:t>
      </w:r>
      <w:r>
        <w:t xml:space="preserve"> </w:t>
      </w:r>
      <w:r>
        <w:rPr>
          <w:bCs/>
          <w:b/>
        </w:rPr>
        <w:t xml:space="preserve">live rhizobia on seed or in-furrow</w:t>
      </w:r>
      <w:r>
        <w:t xml:space="preserve"> </w:t>
      </w:r>
      <w:r>
        <w:t xml:space="preserve">to support nitrogen fixation, noting these bacteria can persist but may be outcompeted, so inoculating</w:t>
      </w:r>
      <w:r>
        <w:t xml:space="preserve"> </w:t>
      </w:r>
      <w:r>
        <w:t xml:space="preserve">“</w:t>
      </w:r>
      <w:r>
        <w:t xml:space="preserve">each time</w:t>
      </w:r>
      <w:r>
        <w:t xml:space="preserve">”</w:t>
      </w:r>
      <w:r>
        <w:t xml:space="preserve"> </w:t>
      </w:r>
      <w:r>
        <w:t xml:space="preserve">can help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 To check nodulation, slice nodules:</w:t>
      </w:r>
      <w:r>
        <w:t xml:space="preserve"> </w:t>
      </w:r>
      <w:r>
        <w:rPr>
          <w:bCs/>
          <w:b/>
        </w:rPr>
        <w:t xml:space="preserve">pink/beefsteak red = active</w:t>
      </w:r>
      <w:r>
        <w:t xml:space="preserve">,</w:t>
      </w:r>
      <w:r>
        <w:t xml:space="preserve"> </w:t>
      </w:r>
      <w:r>
        <w:rPr>
          <w:bCs/>
          <w:b/>
        </w:rPr>
        <w:t xml:space="preserve">black/brown = dead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p>
      <w:pPr>
        <w:pStyle w:val="FirstParagraph"/>
      </w:pPr>
      <w:hyperlink r:id="rId99">
        <w:r>
          <w:drawing>
            <wp:inline>
              <wp:extent cx="5334000" cy="4000500"/>
              <wp:effectExtent b="0" l="0" r="0" t="0"/>
              <wp:docPr descr="Soybean Nodulation" title="" id="97" name="Picture"/>
              <a:graphic>
                <a:graphicData uri="http://schemas.openxmlformats.org/drawingml/2006/picture">
                  <pic:pic>
                    <pic:nvPicPr>
                      <pic:cNvPr descr="https://img.youtube.com/vi/a2HlEQdDlLY/hqdefault.jpg" id="9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9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Soybean Nodulation (3:04)</w:t>
      </w:r>
    </w:p>
    <w:bookmarkEnd w:id="100"/>
    <w:bookmarkStart w:id="105" w:name="X8b9ff00f3c90c5d52c1d24daf158c2215332a4f"/>
    <w:p>
      <w:pPr>
        <w:pStyle w:val="Heading3"/>
      </w:pPr>
      <w:r>
        <w:t xml:space="preserve">Soil fertility (rate-setting under volatile prices)</w:t>
      </w:r>
    </w:p>
    <w:p>
      <w:pPr>
        <w:numPr>
          <w:ilvl w:val="0"/>
          <w:numId w:val="1013"/>
        </w:numPr>
        <w:pStyle w:val="Compact"/>
      </w:pPr>
      <w:r>
        <w:t xml:space="preserve">Canal Rural’s agronomy segment emphasized that more fertilizer</w:t>
      </w:r>
      <w:r>
        <w:t xml:space="preserve"> </w:t>
      </w:r>
      <w:r>
        <w:rPr>
          <w:bCs/>
          <w:b/>
        </w:rPr>
        <w:t xml:space="preserve">doesn’t always mean</w:t>
      </w:r>
      <w:r>
        <w:t xml:space="preserve"> </w:t>
      </w:r>
      <w:r>
        <w:t xml:space="preserve">more productivity: after a point,</w:t>
      </w:r>
      <w:r>
        <w:t xml:space="preserve"> </w:t>
      </w:r>
      <w:r>
        <w:rPr>
          <w:bCs/>
          <w:b/>
        </w:rPr>
        <w:t xml:space="preserve">marginal returns decline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 It also stressed that the</w:t>
      </w:r>
      <w:r>
        <w:t xml:space="preserve"> </w:t>
      </w:r>
      <w:r>
        <w:rPr>
          <w:bCs/>
          <w:b/>
        </w:rPr>
        <w:t xml:space="preserve">maximum economic efficiency</w:t>
      </w:r>
      <w:r>
        <w:t xml:space="preserve"> </w:t>
      </w:r>
      <w:r>
        <w:t xml:space="preserve">rate rarely equals the maximum yield rate—especially when fertilizer prices are volatile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Specific</w:t>
      </w:r>
      <w:r>
        <w:t xml:space="preserve"> </w:t>
      </w:r>
      <w:r>
        <w:t xml:space="preserve">“</w:t>
      </w:r>
      <w:r>
        <w:t xml:space="preserve">too much</w:t>
      </w:r>
      <w:r>
        <w:t xml:space="preserve">”</w:t>
      </w:r>
      <w:r>
        <w:t xml:space="preserve"> </w:t>
      </w:r>
      <w:r>
        <w:t xml:space="preserve">risks cited included nitrogen increasing lodging risk and N₂O emissions, potassium imbalancing Mg/Ca, and phosphorus exceeding soil fixation capacity leading to immobilization or environmental loss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</w:t>
      </w:r>
    </w:p>
    <w:bookmarkEnd w:id="105"/>
    <w:bookmarkStart w:id="109" w:name="livestock-small-farm-systems"/>
    <w:p>
      <w:pPr>
        <w:pStyle w:val="Heading3"/>
      </w:pPr>
      <w:r>
        <w:t xml:space="preserve">Livestock &amp; small-farm systems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Deep-bedded pig pens as a compost engine (small acreage).</w:t>
      </w:r>
      <w:r>
        <w:t xml:space="preserve"> </w:t>
      </w:r>
      <w:r>
        <w:t xml:space="preserve">Joel Salatin recommended stationary deep-bedded pens (example</w:t>
      </w:r>
      <w:r>
        <w:t xml:space="preserve"> </w:t>
      </w:r>
      <w:r>
        <w:rPr>
          <w:bCs/>
          <w:b/>
        </w:rPr>
        <w:t xml:space="preserve">15×20 ft</w:t>
      </w:r>
      <w:r>
        <w:t xml:space="preserve"> </w:t>
      </w:r>
      <w:r>
        <w:t xml:space="preserve">for 3–5 pigs) with</w:t>
      </w:r>
      <w:r>
        <w:t xml:space="preserve"> </w:t>
      </w:r>
      <w:r>
        <w:rPr>
          <w:bCs/>
          <w:b/>
        </w:rPr>
        <w:t xml:space="preserve">24–36 inches</w:t>
      </w:r>
      <w:r>
        <w:t xml:space="preserve"> </w:t>
      </w:r>
      <w:r>
        <w:t xml:space="preserve">of wood-chip bedding; adding carbon to the pigs’</w:t>
      </w:r>
      <w:r>
        <w:t xml:space="preserve"> </w:t>
      </w:r>
      <w:r>
        <w:t xml:space="preserve">“</w:t>
      </w:r>
      <w:r>
        <w:t xml:space="preserve">toilet corner</w:t>
      </w:r>
      <w:r>
        <w:t xml:space="preserve">”</w:t>
      </w:r>
      <w:r>
        <w:t xml:space="preserve"> </w:t>
      </w:r>
      <w:r>
        <w:t xml:space="preserve">was presented as a way to accumulate enough material to create</w:t>
      </w:r>
      <w:r>
        <w:t xml:space="preserve"> </w:t>
      </w:r>
      <w:r>
        <w:rPr>
          <w:bCs/>
          <w:b/>
        </w:rPr>
        <w:t xml:space="preserve">3–4 pickup loads of compost in ~6 months</w:t>
      </w:r>
      <w:r>
        <w:t xml:space="preserve"> </w:t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8"/>
      </w:r>
      <w:r>
        <w:t xml:space="preserve">.</w:t>
      </w:r>
    </w:p>
    <w:bookmarkEnd w:id="109"/>
    <w:bookmarkEnd w:id="110"/>
    <w:bookmarkStart w:id="133" w:name="input-markets"/>
    <w:p>
      <w:pPr>
        <w:pStyle w:val="Heading2"/>
      </w:pPr>
      <w:r>
        <w:t xml:space="preserve">5) Input Markets</w:t>
      </w:r>
    </w:p>
    <w:bookmarkStart w:id="120" w:name="Xe9463a0a0682b8a18dbf65e792e41b2d7e1f591"/>
    <w:p>
      <w:pPr>
        <w:pStyle w:val="Heading3"/>
      </w:pPr>
      <w:r>
        <w:t xml:space="preserve">Fertilizer: price spikes + logistics constraints (US and global)</w:t>
      </w:r>
    </w:p>
    <w:p>
      <w:pPr>
        <w:numPr>
          <w:ilvl w:val="0"/>
          <w:numId w:val="1015"/>
        </w:numPr>
      </w:pPr>
      <w:r>
        <w:t xml:space="preserve">The Strait of Hormuz was described as a critical chokepoint for moving oil and a significant share of global fertilizer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 One market source estimated</w:t>
      </w:r>
      <w:r>
        <w:t xml:space="preserve"> </w:t>
      </w:r>
      <w:r>
        <w:rPr>
          <w:bCs/>
          <w:b/>
        </w:rPr>
        <w:t xml:space="preserve">~⅓ of global crop nutrients</w:t>
      </w:r>
      <w:r>
        <w:t xml:space="preserve"> </w:t>
      </w:r>
      <w:r>
        <w:t xml:space="preserve">pass through the strait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, including</w:t>
      </w:r>
      <w:r>
        <w:t xml:space="preserve"> </w:t>
      </w:r>
      <w:r>
        <w:rPr>
          <w:bCs/>
          <w:b/>
        </w:rPr>
        <w:t xml:space="preserve">~25% of global anhydrous ammonia exports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~20–25% of global urea exports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Supply timing risk into spring:</w:t>
      </w:r>
      <w:r>
        <w:t xml:space="preserve"> </w:t>
      </w:r>
      <w:r>
        <w:t xml:space="preserve">a Farm Journal interview described a</w:t>
      </w:r>
      <w:r>
        <w:t xml:space="preserve"> </w:t>
      </w:r>
      <w:r>
        <w:t xml:space="preserve">“</w:t>
      </w:r>
      <w:r>
        <w:t xml:space="preserve">two-month-ahead</w:t>
      </w:r>
      <w:r>
        <w:t xml:space="preserve">”</w:t>
      </w:r>
      <w:r>
        <w:t xml:space="preserve"> </w:t>
      </w:r>
      <w:r>
        <w:t xml:space="preserve">calendar—</w:t>
      </w:r>
      <w:r>
        <w:rPr>
          <w:bCs/>
          <w:b/>
        </w:rPr>
        <w:t xml:space="preserve">~30 days ocean transit plus another ~3–4 weeks to move product inland</w:t>
      </w:r>
      <w:r>
        <w:t xml:space="preserve">, with an example that a vessel loading</w:t>
      </w:r>
      <w:r>
        <w:t xml:space="preserve"> </w:t>
      </w:r>
      <w:r>
        <w:t xml:space="preserve">“</w:t>
      </w:r>
      <w:r>
        <w:t xml:space="preserve">today</w:t>
      </w:r>
      <w:r>
        <w:t xml:space="preserve">”</w:t>
      </w:r>
      <w:r>
        <w:t xml:space="preserve"> </w:t>
      </w:r>
      <w:r>
        <w:t xml:space="preserve">might not be readily available until around</w:t>
      </w:r>
      <w:r>
        <w:t xml:space="preserve"> </w:t>
      </w:r>
      <w:r>
        <w:rPr>
          <w:bCs/>
          <w:b/>
        </w:rPr>
        <w:t xml:space="preserve">May 1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. A related discussion framed urea as dependent on the Middle East for a large share of US import needs and emphasized the tightness of the spring calendar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Market behavior:</w:t>
      </w:r>
      <w:r>
        <w:t xml:space="preserve"> </w:t>
      </w:r>
      <w:r>
        <w:t xml:space="preserve">one grain-market video said many US retailers went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 bid</w:t>
      </w:r>
      <w:r>
        <w:rPr>
          <w:bCs/>
          <w:b/>
        </w:rPr>
        <w:t xml:space="preserve">”</w:t>
      </w:r>
      <w:r>
        <w:t xml:space="preserve"> </w:t>
      </w:r>
      <w:r>
        <w:t xml:space="preserve">on nitrogen as they waited on expected price spikes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Relative affordability:</w:t>
      </w:r>
      <w:r>
        <w:t xml:space="preserve"> </w:t>
      </w:r>
      <w:r>
        <w:t xml:space="preserve">StoneX commentary said urea values are high versus history and that the</w:t>
      </w:r>
      <w:r>
        <w:t xml:space="preserve"> </w:t>
      </w:r>
      <w:r>
        <w:rPr>
          <w:bCs/>
          <w:b/>
        </w:rPr>
        <w:t xml:space="preserve">urea-to-corn ratio</w:t>
      </w:r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second-highest on record</w:t>
      </w:r>
      <w:r>
        <w:t xml:space="preserve"> </w:t>
      </w:r>
      <w:r>
        <w:t xml:space="preserve">for this time of year (with the peak referenced as 2005)</w:t>
      </w:r>
      <w:r>
        <w:t xml:space="preserve"> </w:t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19"/>
      </w:r>
      <w:r>
        <w:t xml:space="preserve">.</w:t>
      </w:r>
    </w:p>
    <w:bookmarkEnd w:id="120"/>
    <w:bookmarkStart w:id="123" w:name="potash-and-phosphate-diverging-setups"/>
    <w:p>
      <w:pPr>
        <w:pStyle w:val="Heading3"/>
      </w:pPr>
      <w:r>
        <w:t xml:space="preserve">Potash and phosphate: diverging setups</w:t>
      </w:r>
    </w:p>
    <w:p>
      <w:pPr>
        <w:numPr>
          <w:ilvl w:val="0"/>
          <w:numId w:val="1016"/>
        </w:numPr>
        <w:pStyle w:val="Compact"/>
      </w:pPr>
      <w:r>
        <w:t xml:space="preserve">Potash was described as well supplied and steady, with Canada’s 2025 exports referenced as the most ever and additional tonnage expected from multiple origins and expansions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p>
      <w:pPr>
        <w:numPr>
          <w:ilvl w:val="0"/>
          <w:numId w:val="1016"/>
        </w:numPr>
        <w:pStyle w:val="Compact"/>
      </w:pPr>
      <w:r>
        <w:t xml:space="preserve">For phosphate, one discussion highlighted concentration (five countries controlling</w:t>
      </w:r>
      <w:r>
        <w:t xml:space="preserve"> </w:t>
      </w:r>
      <w:r>
        <w:rPr>
          <w:bCs/>
          <w:b/>
        </w:rPr>
        <w:t xml:space="preserve">~85–90%</w:t>
      </w:r>
      <w:r>
        <w:t xml:space="preserve"> </w:t>
      </w:r>
      <w:r>
        <w:t xml:space="preserve">of flows) and cited China not exporting until</w:t>
      </w:r>
      <w:r>
        <w:t xml:space="preserve"> </w:t>
      </w:r>
      <w:r>
        <w:rPr>
          <w:bCs/>
          <w:b/>
        </w:rPr>
        <w:t xml:space="preserve">August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</w:t>
      </w:r>
    </w:p>
    <w:bookmarkEnd w:id="123"/>
    <w:bookmarkStart w:id="126" w:name="chemicals-and-regulatoryprocess-signals"/>
    <w:p>
      <w:pPr>
        <w:pStyle w:val="Heading3"/>
      </w:pPr>
      <w:r>
        <w:t xml:space="preserve">Chemicals and regulatory/process signals</w:t>
      </w:r>
    </w:p>
    <w:p>
      <w:pPr>
        <w:numPr>
          <w:ilvl w:val="0"/>
          <w:numId w:val="1017"/>
        </w:numPr>
        <w:pStyle w:val="Compact"/>
      </w:pPr>
      <w:r>
        <w:t xml:space="preserve">Successful Farming flagged</w:t>
      </w:r>
      <w:r>
        <w:t xml:space="preserve"> </w:t>
      </w:r>
      <w:r>
        <w:rPr>
          <w:bCs/>
          <w:b/>
        </w:rPr>
        <w:t xml:space="preserve">new dicamba label changes</w:t>
      </w:r>
      <w:r>
        <w:t xml:space="preserve">,</w:t>
      </w:r>
      <w:r>
        <w:t xml:space="preserve"> </w:t>
      </w:r>
      <w:r>
        <w:rPr>
          <w:bCs/>
          <w:b/>
        </w:rPr>
        <w:t xml:space="preserve">ESA documentation requirements</w:t>
      </w:r>
      <w:r>
        <w:t xml:space="preserve">, and</w:t>
      </w:r>
      <w:r>
        <w:t xml:space="preserve"> </w:t>
      </w:r>
      <w:r>
        <w:rPr>
          <w:bCs/>
          <w:b/>
        </w:rPr>
        <w:t xml:space="preserve">glyphosate litigation</w:t>
      </w:r>
      <w:r>
        <w:t xml:space="preserve"> </w:t>
      </w:r>
      <w:r>
        <w:t xml:space="preserve">as factors shaping 2026 weed plans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bookmarkEnd w:id="126"/>
    <w:bookmarkStart w:id="132" w:name="producer-risk-tools-old-crop-corn"/>
    <w:p>
      <w:pPr>
        <w:pStyle w:val="Heading3"/>
      </w:pPr>
      <w:r>
        <w:t xml:space="preserve">Producer risk tools (old-crop corn)</w:t>
      </w:r>
    </w:p>
    <w:p>
      <w:pPr>
        <w:numPr>
          <w:ilvl w:val="0"/>
          <w:numId w:val="1018"/>
        </w:numPr>
        <w:pStyle w:val="Compact"/>
      </w:pPr>
      <w:r>
        <w:t xml:space="preserve">A hedging note for corn that</w:t>
      </w:r>
      <w:r>
        <w:t xml:space="preserve"> </w:t>
      </w:r>
      <w:r>
        <w:rPr>
          <w:bCs/>
          <w:b/>
        </w:rPr>
        <w:t xml:space="preserve">must move by May</w:t>
      </w:r>
      <w:r>
        <w:t xml:space="preserve"> </w:t>
      </w:r>
      <w:r>
        <w:t xml:space="preserve">advised:</w:t>
      </w:r>
    </w:p>
    <w:p>
      <w:pPr>
        <w:numPr>
          <w:ilvl w:val="1"/>
          <w:numId w:val="1019"/>
        </w:numPr>
        <w:pStyle w:val="Compact"/>
      </w:pPr>
      <w:r>
        <w:t xml:space="preserve">With</w:t>
      </w:r>
      <w:r>
        <w:t xml:space="preserve"> </w:t>
      </w:r>
      <w:r>
        <w:rPr>
          <w:bCs/>
          <w:b/>
        </w:rPr>
        <w:t xml:space="preserve">weak basis</w:t>
      </w:r>
      <w:r>
        <w:t xml:space="preserve">:</w:t>
      </w:r>
      <w:r>
        <w:t xml:space="preserve"> </w:t>
      </w:r>
      <w:r>
        <w:t xml:space="preserve">“</w:t>
      </w:r>
      <w:r>
        <w:t xml:space="preserve">protect the board first</w:t>
      </w:r>
      <w:r>
        <w:t xml:space="preserve">”</w:t>
      </w:r>
      <w:r>
        <w:t xml:space="preserve"> </w:t>
      </w:r>
      <w:r>
        <w:t xml:space="preserve">via</w:t>
      </w:r>
      <w:r>
        <w:t xml:space="preserve"> </w:t>
      </w:r>
      <w:r>
        <w:rPr>
          <w:bCs/>
          <w:b/>
        </w:rPr>
        <w:t xml:space="preserve">April/May puts or selling futures</w:t>
      </w:r>
      <w:r>
        <w:t xml:space="preserve"> </w:t>
      </w:r>
      <w:r>
        <w:t xml:space="preserve">if basis is expected to firm before movement</w:t>
      </w:r>
      <w:r>
        <w:t xml:space="preserve"> </w:t>
      </w:r>
      <w:r>
        <w:rPr>
          <w:rStyle w:val="FootnoteReference"/>
        </w:rPr>
        <w:footnoteReference w:id="127"/>
      </w:r>
      <w:r>
        <w:rPr>
          <w:rStyle w:val="FootnoteReference"/>
        </w:rPr>
        <w:footnoteReference w:id="129"/>
      </w:r>
      <w:r>
        <w:t xml:space="preserve">.</w:t>
      </w:r>
    </w:p>
    <w:p>
      <w:pPr>
        <w:numPr>
          <w:ilvl w:val="1"/>
          <w:numId w:val="1019"/>
        </w:numPr>
        <w:pStyle w:val="Compact"/>
      </w:pPr>
      <w:r>
        <w:t xml:space="preserve">With</w:t>
      </w:r>
      <w:r>
        <w:t xml:space="preserve"> </w:t>
      </w:r>
      <w:r>
        <w:rPr>
          <w:bCs/>
          <w:b/>
        </w:rPr>
        <w:t xml:space="preserve">strong basis</w:t>
      </w:r>
      <w:r>
        <w:t xml:space="preserve">:</w:t>
      </w:r>
      <w:r>
        <w:t xml:space="preserve"> </w:t>
      </w:r>
      <w:r>
        <w:t xml:space="preserve">“</w:t>
      </w:r>
      <w:r>
        <w:t xml:space="preserve">capture basis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0"/>
      </w:r>
      <w:r>
        <w:rPr>
          <w:rStyle w:val="FootnoteReference"/>
        </w:rPr>
        <w:footnoteReference w:id="131"/>
      </w:r>
      <w:r>
        <w:t xml:space="preserve">.</w:t>
      </w:r>
    </w:p>
    <w:bookmarkEnd w:id="132"/>
    <w:bookmarkEnd w:id="133"/>
    <w:bookmarkStart w:id="145" w:name="forward-outlook"/>
    <w:p>
      <w:pPr>
        <w:pStyle w:val="Heading2"/>
      </w:pPr>
      <w:r>
        <w:t xml:space="preserve">6) Forward Outlook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Spring planting decisions may hinge on fertilizer availability.</w:t>
      </w:r>
      <w:r>
        <w:t xml:space="preserve"> </w:t>
      </w:r>
      <w:r>
        <w:t xml:space="preserve">One Farm Journal segment noted February fertilizer imports were</w:t>
      </w:r>
      <w:r>
        <w:t xml:space="preserve"> </w:t>
      </w:r>
      <w:r>
        <w:t xml:space="preserve">“</w:t>
      </w:r>
      <w:r>
        <w:t xml:space="preserve">healthy,</w:t>
      </w:r>
      <w:r>
        <w:t xml:space="preserve">”</w:t>
      </w:r>
      <w:r>
        <w:t xml:space="preserve"> </w:t>
      </w:r>
      <w:r>
        <w:t xml:space="preserve">but still warned that acreage could shift</w:t>
      </w:r>
      <w:r>
        <w:t xml:space="preserve"> </w:t>
      </w:r>
      <w:r>
        <w:rPr>
          <w:bCs/>
          <w:b/>
        </w:rPr>
        <w:t xml:space="preserve">from corn to soybeans if fertilizer supplies don’t arrive</w:t>
      </w:r>
      <w:r>
        <w:t xml:space="preserve"> </w:t>
      </w:r>
      <w:r>
        <w:rPr>
          <w:rStyle w:val="FootnoteReference"/>
        </w:rPr>
        <w:footnoteReference w:id="134"/>
      </w:r>
      <w:r>
        <w:t xml:space="preserve">.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Fuel and fertilizer remain linked to oil moves.</w:t>
      </w:r>
      <w:r>
        <w:t xml:space="preserve"> </w:t>
      </w:r>
      <w:r>
        <w:t xml:space="preserve">A Brownfield interview cited oil around</w:t>
      </w:r>
      <w:r>
        <w:t xml:space="preserve"> </w:t>
      </w:r>
      <w:r>
        <w:rPr>
          <w:bCs/>
          <w:b/>
        </w:rPr>
        <w:t xml:space="preserve">$71–$72/barrel</w:t>
      </w:r>
      <w:r>
        <w:t xml:space="preserve"> </w:t>
      </w:r>
      <w:r>
        <w:t xml:space="preserve">(up roughly</w:t>
      </w:r>
      <w:r>
        <w:t xml:space="preserve"> </w:t>
      </w:r>
      <w:r>
        <w:rPr>
          <w:bCs/>
          <w:b/>
        </w:rPr>
        <w:t xml:space="preserve">$6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 </w:t>
      </w:r>
      <w:r>
        <w:t xml:space="preserve">and said fertilizer prices often move with oil as a proxy for natural gas, emphasizing fertilizer as a larger farm expense than fuel</w:t>
      </w:r>
      <w:r>
        <w:t xml:space="preserve"> </w:t>
      </w:r>
      <w:r>
        <w:rPr>
          <w:rStyle w:val="FootnoteReference"/>
        </w:rPr>
        <w:footnoteReference w:id="137"/>
      </w:r>
      <w:r>
        <w:t xml:space="preserve">.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Brazil export exposure to Iran is material for corn.</w:t>
      </w:r>
      <w:r>
        <w:t xml:space="preserve"> </w:t>
      </w:r>
      <w:r>
        <w:t xml:space="preserve">Canal Rural reported Iran imported about</w:t>
      </w:r>
      <w:r>
        <w:t xml:space="preserve"> </w:t>
      </w:r>
      <w:r>
        <w:rPr>
          <w:bCs/>
          <w:b/>
        </w:rPr>
        <w:t xml:space="preserve">9 million tons</w:t>
      </w:r>
      <w:r>
        <w:t xml:space="preserve"> </w:t>
      </w:r>
      <w:r>
        <w:t xml:space="preserve">of Brazilian corn in 2025 (about</w:t>
      </w:r>
      <w:r>
        <w:t xml:space="preserve"> </w:t>
      </w:r>
      <w:r>
        <w:rPr>
          <w:bCs/>
          <w:b/>
        </w:rPr>
        <w:t xml:space="preserve">22–23%</w:t>
      </w:r>
      <w:r>
        <w:t xml:space="preserve"> </w:t>
      </w:r>
      <w:r>
        <w:t xml:space="preserve">of Brazil’s corn exports)</w:t>
      </w:r>
      <w:r>
        <w:t xml:space="preserve"> </w:t>
      </w:r>
      <w:r>
        <w:rPr>
          <w:rStyle w:val="FootnoteReference"/>
        </w:rPr>
        <w:footnoteReference w:id="138"/>
      </w:r>
      <w:r>
        <w:rPr>
          <w:rStyle w:val="FootnoteReference"/>
        </w:rPr>
        <w:footnoteReference w:id="140"/>
      </w:r>
      <w:r>
        <w:t xml:space="preserve">. The same coverage warned that conflict-driven disruptions to freight, port activity, and regional logistics could affect Brazil’s export potential and (if exports are constrained) contribute to heavier domestic supply and weaker internal prices</w:t>
      </w:r>
      <w:r>
        <w:t xml:space="preserve"> </w:t>
      </w:r>
      <w:r>
        <w:rPr>
          <w:rStyle w:val="FootnoteReference"/>
        </w:rPr>
        <w:footnoteReference w:id="142"/>
      </w:r>
      <w:r>
        <w:t xml:space="preserve">.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Financial risk management theme (US):</w:t>
      </w:r>
      <w:r>
        <w:t xml:space="preserve"> </w:t>
      </w:r>
      <w:r>
        <w:t xml:space="preserve">a Brownfield segment encouraged farmers to manage controllable risk by limiting debt capital borrowed (beyond operating loans) during heightened input and price uncertainty</w:t>
      </w:r>
      <w:r>
        <w:t xml:space="preserve"> </w:t>
      </w:r>
      <w:r>
        <w:rPr>
          <w:rStyle w:val="FootnoteReference"/>
        </w:rPr>
        <w:footnoteReference w:id="14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4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1"/>
        </w:numPr>
        <w:pStyle w:val="Compact"/>
      </w:pPr>
      <w:hyperlink r:id="rId21">
        <w:r>
          <w:rPr>
            <w:rStyle w:val="Hyperlink"/>
          </w:rPr>
          <w:t xml:space="preserve">Iran War Spikes Fertilizer Prices, Threatens Supplies for Planting Season</w:t>
        </w:r>
      </w:hyperlink>
    </w:p>
    <w:p>
      <w:pPr>
        <w:numPr>
          <w:ilvl w:val="0"/>
          <w:numId w:val="1021"/>
        </w:numPr>
        <w:pStyle w:val="Compact"/>
      </w:pPr>
      <w:hyperlink r:id="rId30">
        <w:r>
          <w:rPr>
            <w:rStyle w:val="Hyperlink"/>
          </w:rPr>
          <w:t xml:space="preserve">Markets Now Closes - 3/3 Grains End Mostly Higher: Trying to Decide if Iran War Bullish or Bearish</w:t>
        </w:r>
      </w:hyperlink>
    </w:p>
    <w:p>
      <w:pPr>
        <w:numPr>
          <w:ilvl w:val="0"/>
          <w:numId w:val="1021"/>
        </w:numPr>
        <w:pStyle w:val="Compact"/>
      </w:pP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  <w:p>
      <w:pPr>
        <w:numPr>
          <w:ilvl w:val="0"/>
          <w:numId w:val="102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  <w:p>
      <w:pPr>
        <w:numPr>
          <w:ilvl w:val="0"/>
          <w:numId w:val="102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@DeItaone</w:t>
        </w:r>
      </w:hyperlink>
    </w:p>
    <w:p>
      <w:pPr>
        <w:numPr>
          <w:ilvl w:val="0"/>
          <w:numId w:val="1021"/>
        </w:numPr>
        <w:pStyle w:val="Compact"/>
      </w:pPr>
      <w:hyperlink r:id="rId49">
        <w:r>
          <w:rPr>
            <w:rStyle w:val="Hyperlink"/>
          </w:rPr>
          <w:t xml:space="preserve">The Scoop Podcast: The Scoop’s 2025 New Product of the Year: Why Biologicals Are Making Waves</w:t>
        </w:r>
      </w:hyperlink>
    </w:p>
    <w:p>
      <w:pPr>
        <w:numPr>
          <w:ilvl w:val="0"/>
          <w:numId w:val="1021"/>
        </w:numPr>
        <w:pStyle w:val="Compact"/>
      </w:pPr>
      <w:hyperlink r:id="rId56">
        <w:r>
          <w:rPr>
            <w:rStyle w:val="Hyperlink"/>
          </w:rPr>
          <w:t xml:space="preserve">Como a IA auxilia na tomada de decisões nutricionais da produção de aves e suínos?</w:t>
        </w:r>
      </w:hyperlink>
    </w:p>
    <w:p>
      <w:pPr>
        <w:numPr>
          <w:ilvl w:val="0"/>
          <w:numId w:val="1021"/>
        </w:numPr>
        <w:pStyle w:val="Compact"/>
      </w:pPr>
      <w:hyperlink r:id="rId62">
        <w:r>
          <w:rPr>
            <w:rStyle w:val="Hyperlink"/>
          </w:rPr>
          <w:t xml:space="preserve">The Bovine Vet Podcast: Genomic Testing &amp; Herd Replacement Decisions</w:t>
        </w:r>
      </w:hyperlink>
    </w:p>
    <w:p>
      <w:pPr>
        <w:numPr>
          <w:ilvl w:val="0"/>
          <w:numId w:val="1021"/>
        </w:numPr>
        <w:pStyle w:val="Compact"/>
      </w:pPr>
      <w:hyperlink r:id="rId69">
        <w:r>
          <w:rPr>
            <w:rStyle w:val="Hyperlink"/>
          </w:rPr>
          <w:t xml:space="preserve">Chuvas acima da média pressionam o plantio do milho em Mato Grosso</w:t>
        </w:r>
      </w:hyperlink>
    </w:p>
    <w:p>
      <w:pPr>
        <w:numPr>
          <w:ilvl w:val="0"/>
          <w:numId w:val="1021"/>
        </w:numPr>
        <w:pStyle w:val="Compact"/>
      </w:pPr>
      <w:hyperlink r:id="rId77">
        <w:r>
          <w:rPr>
            <w:rStyle w:val="Hyperlink"/>
          </w:rPr>
          <w:t xml:space="preserve">Chuvas em Minas Gerais prejudicam qualidade da colheita de soja</w:t>
        </w:r>
      </w:hyperlink>
    </w:p>
    <w:p>
      <w:pPr>
        <w:numPr>
          <w:ilvl w:val="0"/>
          <w:numId w:val="1021"/>
        </w:numPr>
        <w:pStyle w:val="Compact"/>
      </w:pPr>
      <w:hyperlink r:id="rId85">
        <w:r>
          <w:rPr>
            <w:rStyle w:val="Hyperlink"/>
          </w:rPr>
          <w:t xml:space="preserve">Economista explica, cómo productores arroceros podrían atenuar momento complicado</w:t>
        </w:r>
      </w:hyperlink>
    </w:p>
    <w:p>
      <w:pPr>
        <w:numPr>
          <w:ilvl w:val="0"/>
          <w:numId w:val="1021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21"/>
        </w:numPr>
        <w:pStyle w:val="Compact"/>
      </w:pPr>
      <w:hyperlink r:id="rId94">
        <w:r>
          <w:rPr>
            <w:rStyle w:val="Hyperlink"/>
          </w:rPr>
          <w:t xml:space="preserve">Soybean Nodulation</w:t>
        </w:r>
      </w:hyperlink>
    </w:p>
    <w:p>
      <w:pPr>
        <w:numPr>
          <w:ilvl w:val="0"/>
          <w:numId w:val="1021"/>
        </w:numPr>
        <w:pStyle w:val="Compact"/>
      </w:pPr>
      <w:hyperlink r:id="rId102">
        <w:r>
          <w:rPr>
            <w:rStyle w:val="Hyperlink"/>
          </w:rPr>
          <w:t xml:space="preserve">Como usar fertilizante de forma eficiente para aumentar a produtividade? | Palavra de Especialista</w:t>
        </w:r>
      </w:hyperlink>
    </w:p>
    <w:p>
      <w:pPr>
        <w:numPr>
          <w:ilvl w:val="0"/>
          <w:numId w:val="1021"/>
        </w:numPr>
        <w:pStyle w:val="Compact"/>
      </w:pPr>
      <w:hyperlink r:id="rId107">
        <w:r>
          <w:rPr>
            <w:rStyle w:val="Hyperlink"/>
          </w:rPr>
          <w:t xml:space="preserve">Can You Raise Pigs On Pasture With Pig Tractors?</w:t>
        </w:r>
      </w:hyperlink>
    </w:p>
    <w:p>
      <w:pPr>
        <w:numPr>
          <w:ilvl w:val="0"/>
          <w:numId w:val="1021"/>
        </w:numPr>
        <w:pStyle w:val="Compact"/>
      </w:pPr>
      <w:hyperlink r:id="rId116">
        <w:r>
          <w:rPr>
            <w:rStyle w:val="Hyperlink"/>
          </w:rPr>
          <w:t xml:space="preserve">Top Producer Podcast: Josh Linville, StoneX</w:t>
        </w:r>
      </w:hyperlink>
    </w:p>
    <w:p>
      <w:pPr>
        <w:numPr>
          <w:ilvl w:val="0"/>
          <w:numId w:val="1021"/>
        </w:numPr>
        <w:pStyle w:val="Compact"/>
      </w:pP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21"/>
        </w:numPr>
        <w:pStyle w:val="Compact"/>
      </w:pPr>
      <w:hyperlink r:id="rId128">
        <w:r>
          <w:rPr>
            <w:rStyle w:val="Hyperlink"/>
          </w:rPr>
          <w:t xml:space="preserve">CORN SIGNAL &amp; HEDGE ALERT</w:t>
        </w:r>
      </w:hyperlink>
    </w:p>
    <w:p>
      <w:pPr>
        <w:numPr>
          <w:ilvl w:val="0"/>
          <w:numId w:val="1021"/>
        </w:numPr>
        <w:pStyle w:val="Compact"/>
      </w:pPr>
      <w:hyperlink r:id="rId136">
        <w:r>
          <w:rPr>
            <w:rStyle w:val="Hyperlink"/>
          </w:rPr>
          <w:t xml:space="preserve">Middle East conflict could raise fuel, fertilizer prices</w:t>
        </w:r>
      </w:hyperlink>
    </w:p>
    <w:p>
      <w:pPr>
        <w:numPr>
          <w:ilvl w:val="0"/>
          <w:numId w:val="1021"/>
        </w:numPr>
        <w:pStyle w:val="Compact"/>
      </w:pPr>
      <w:hyperlink r:id="rId139">
        <w:r>
          <w:rPr>
            <w:rStyle w:val="Hyperlink"/>
          </w:rPr>
          <w:t xml:space="preserve">AO VIVO: Arábia Saudita fecha maior refinaria de petróleo após ataque do Irã | M&amp;C – 03/03/2026</w:t>
        </w:r>
      </w:hyperlink>
    </w:p>
    <w:p>
      <w:pPr>
        <w:numPr>
          <w:ilvl w:val="0"/>
          <w:numId w:val="1021"/>
        </w:numPr>
        <w:pStyle w:val="Compact"/>
      </w:pPr>
      <w:hyperlink r:id="rId141">
        <w:r>
          <w:rPr>
            <w:rStyle w:val="Hyperlink"/>
          </w:rPr>
          <w:t xml:space="preserve">Puxado pelo agro, PIB do Brasil cresce 2,3% em 2025, diz IBGE | Rural Notícias - 03/03/2026</w:t>
        </w:r>
      </w:hyperlink>
    </w:p>
    <w:bookmarkEnd w:id="144"/>
    <w:bookmarkEnd w:id="145"/>
    <w:bookmarkEnd w:id="1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Iran War Spikes Fertilizer Prices, Threatens Supplies for Planting Season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Iran War Spikes Fertilizer Prices, Threatens Supplies for Planting Season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Iran War Spikes Fertilizer Prices, Threatens Supplies for Planting Season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Iran War Spikes Fertilizer Prices, Threatens Supplies for Planting Season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Markets Now Closes - 3/3 Grains End Mostly Higher: Trying to Decide if Iran War Bullish or Bearish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@DeItaone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The Scoop Podcast: The Scoop’s 2025 New Product of the Year: Why Biologicals Are Making Waves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The Scoop Podcast: The Scoop’s 2025 New Product of the Year: Why Biologicals Are Making Waves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The Scoop Podcast: The Scoop’s 2025 New Product of the Year: Why Biologicals Are Making Waves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The Scoop Podcast: The Scoop’s 2025 New Product of the Year: Why Biologicals Are Making Waves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The Scoop Podcast: The Scoop’s 2025 New Product of the Year: Why Biologicals Are Making Waves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Como a IA auxilia na tomada de decisões nutricionais da produção de aves e suínos?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Como a IA auxilia na tomada de decisões nutricionais da produção de aves e suínos?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Como a IA auxilia na tomada de decisões nutricionais da produção de aves e suínos?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Como a IA auxilia na tomada de decisões nutricionais da produção de aves e suínos?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The Bovine Vet Podcast: Genomic Testing &amp; Herd Replacement Decisions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The Bovine Vet Podcast: Genomic Testing &amp; Herd Replacement Decisions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The Bovine Vet Podcast: Genomic Testing &amp; Herd Replacement Decisions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2">
        <w:r>
          <w:rPr>
            <w:rStyle w:val="Hyperlink"/>
          </w:rPr>
          <w:t xml:space="preserve">The Bovine Vet Podcast: Genomic Testing &amp; Herd Replacement Decisions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Chuvas acima da média pressionam o plantio do milho em Mato Grosso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Chuvas acima da média pressionam o plantio do milho em Mato Grosso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Chuvas acima da média pressionam o plantio do milho em Mato Grosso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Chuvas acima da média pressionam o plantio do milho em Mato Grosso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Chuvas acima da média pressionam o plantio do milho em Mato Grosso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Chuvas acima da média pressionam o plantio do milho em Mato Grosso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Chuvas em Minas Gerais prejudicam qualidade da colheita de soja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Chuvas em Minas Gerais prejudicam qualidade da colheita de soja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Economista explica, cómo productores arroceros podrían atenuar momento complicado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Economista explica, cómo productores arroceros podrían atenuar momento complicado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Economista explica, cómo productores arroceros podrían atenuar momento complicado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Soybean Nodulation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Soybean Nodulation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Como usar fertilizante de forma eficiente para aumentar a produtividade? | Palavra de Especialista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Como usar fertilizante de forma eficiente para aumentar a produtividade? | Palavra de Especialista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Como usar fertilizante de forma eficiente para aumentar a produtividade? | Palavra de Especialista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Can You Raise Pigs On Pasture With Pig Tractors?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Can You Raise Pigs On Pasture With Pig Tractors?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Iran War Spikes Fertilizer Prices, Threatens Supplies for Planting Season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Iran War Spikes Fertilizer Prices, Threatens Supplies for Planting Season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Top Producer Podcast: Josh Linville, StoneX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Farmers Now Unable to Buy Fertilizer?? Impact from Iran Attacks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Top Producer Podcast: Josh Linville, StoneX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Top Producer Podcast: Josh Linville, StoneX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Top Producer Podcast: Josh Linville, StoneX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6">
        <w:r>
          <w:rPr>
            <w:rStyle w:val="Hyperlink"/>
          </w:rPr>
          <w:t xml:space="preserve">Top Producer Podcast: Josh Linville, StoneX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CORN SIGNAL &amp; HEDGE ALERT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CORN SIGNAL &amp; HEDGE ALERT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CORN SIGNAL &amp; HEDGE ALERT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CORN SIGNAL &amp; HEDGE ALERT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Iran War Spikes Fertilizer Prices, Threatens Supplies for Planting Season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Middle East conflict could raise fuel, fertilizer prices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Middle East conflict could raise fuel, fertilizer prices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AO VIVO: Arábia Saudita fecha maior refinaria de petróleo após ataque do Irã | M&amp;C – 03/03/2026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Puxado pelo agro, PIB do Brasil cresce 2,3% em 2025, diz IBGE | Rural Notícias - 03/03/2026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Puxado pelo agro, PIB do Brasil cresce 2,3% em 2025, diz IBGE | Rural Notícias - 03/03/2026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Middle East conflict could raise fuel, fertilizer prices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image" Id="rId96" Target="media/rId96.jpg" /><Relationship Type="http://schemas.openxmlformats.org/officeDocument/2006/relationships/hyperlink" Id="rId128" Target="https://jeremeyfrost.substack.com/p/corn-signal-and-hedge-alert" TargetMode="External" /><Relationship Type="http://schemas.openxmlformats.org/officeDocument/2006/relationships/hyperlink" Id="rId62" Target="https://www.youtube.com/watch?v=0mD-RRyXaLg" TargetMode="External" /><Relationship Type="http://schemas.openxmlformats.org/officeDocument/2006/relationships/hyperlink" Id="rId77" Target="https://www.youtube.com/watch?v=0qGgV-iohkQ" TargetMode="External" /><Relationship Type="http://schemas.openxmlformats.org/officeDocument/2006/relationships/hyperlink" Id="rId116" Target="https://www.youtube.com/watch?v=4SOPUHwQ1CE" TargetMode="External" /><Relationship Type="http://schemas.openxmlformats.org/officeDocument/2006/relationships/hyperlink" Id="rId136" Target="https://www.youtube.com/watch?v=8TupzZJoF1s" TargetMode="External" /><Relationship Type="http://schemas.openxmlformats.org/officeDocument/2006/relationships/hyperlink" Id="rId30" Target="https://www.youtube.com/watch?v=BWbTqVlhVhQ" TargetMode="External" /><Relationship Type="http://schemas.openxmlformats.org/officeDocument/2006/relationships/hyperlink" Id="rId141" Target="https://www.youtube.com/watch?v=BdDCzkER9q0" TargetMode="External" /><Relationship Type="http://schemas.openxmlformats.org/officeDocument/2006/relationships/hyperlink" Id="rId69" Target="https://www.youtube.com/watch?v=JCs4QQf0i4M" TargetMode="External" /><Relationship Type="http://schemas.openxmlformats.org/officeDocument/2006/relationships/hyperlink" Id="rId32" Target="https://www.youtube.com/watch?v=OpMTUsTxhEU" TargetMode="External" /><Relationship Type="http://schemas.openxmlformats.org/officeDocument/2006/relationships/hyperlink" Id="rId21" Target="https://www.youtube.com/watch?v=YEXOCuuqo4k" TargetMode="External" /><Relationship Type="http://schemas.openxmlformats.org/officeDocument/2006/relationships/hyperlink" Id="rId49" Target="https://www.youtube.com/watch?v=ZTorZWDLMlU" TargetMode="External" /><Relationship Type="http://schemas.openxmlformats.org/officeDocument/2006/relationships/hyperlink" Id="rId94" Target="https://www.youtube.com/watch?v=a2HlEQdDlLY" TargetMode="External" /><Relationship Type="http://schemas.openxmlformats.org/officeDocument/2006/relationships/hyperlink" Id="rId107" Target="https://www.youtube.com/watch?v=b1s-vdXM46A" TargetMode="External" /><Relationship Type="http://schemas.openxmlformats.org/officeDocument/2006/relationships/hyperlink" Id="rId85" Target="https://www.youtube.com/watch?v=e1g4LIWLJDA" TargetMode="External" /><Relationship Type="http://schemas.openxmlformats.org/officeDocument/2006/relationships/hyperlink" Id="rId56" Target="https://www.youtube.com/watch?v=fn39vx1ADvs" TargetMode="External" /><Relationship Type="http://schemas.openxmlformats.org/officeDocument/2006/relationships/hyperlink" Id="rId102" Target="https://www.youtube.com/watch?v=hc1Q4VRKYyY" TargetMode="External" /><Relationship Type="http://schemas.openxmlformats.org/officeDocument/2006/relationships/hyperlink" Id="rId139" Target="https://www.youtube.com/watch?v=zVc9H1AoilQ" TargetMode="External" /><Relationship Type="http://schemas.openxmlformats.org/officeDocument/2006/relationships/hyperlink" Id="rId91" Target="https://x.com/AgPhDMedia/status/2028873945189880246" TargetMode="External" /><Relationship Type="http://schemas.openxmlformats.org/officeDocument/2006/relationships/hyperlink" Id="rId45" Target="https://x.com/DeItaone/status/2028878212877389940" TargetMode="External" /><Relationship Type="http://schemas.openxmlformats.org/officeDocument/2006/relationships/hyperlink" Id="rId43" Target="https://x.com/GoddessofGrain/status/2028880027589149082" TargetMode="External" /><Relationship Type="http://schemas.openxmlformats.org/officeDocument/2006/relationships/hyperlink" Id="rId125" Target="https://x.com/SuccessfulFarm/status/2028983907467546701" TargetMode="External" /><Relationship Type="http://schemas.openxmlformats.org/officeDocument/2006/relationships/hyperlink" Id="rId28" Target="https://youtube.com/watch?v=YEXOCuuqo4k&amp;t=75" TargetMode="External" /><Relationship Type="http://schemas.openxmlformats.org/officeDocument/2006/relationships/hyperlink" Id="rId99" Target="https://youtube.com/watch?v=a2HlEQdDlLY&amp;t=18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8" Target="https://jeremeyfrost.substack.com/p/corn-signal-and-hedge-alert" TargetMode="External" /><Relationship Type="http://schemas.openxmlformats.org/officeDocument/2006/relationships/hyperlink" Id="rId62" Target="https://www.youtube.com/watch?v=0mD-RRyXaLg" TargetMode="External" /><Relationship Type="http://schemas.openxmlformats.org/officeDocument/2006/relationships/hyperlink" Id="rId77" Target="https://www.youtube.com/watch?v=0qGgV-iohkQ" TargetMode="External" /><Relationship Type="http://schemas.openxmlformats.org/officeDocument/2006/relationships/hyperlink" Id="rId116" Target="https://www.youtube.com/watch?v=4SOPUHwQ1CE" TargetMode="External" /><Relationship Type="http://schemas.openxmlformats.org/officeDocument/2006/relationships/hyperlink" Id="rId136" Target="https://www.youtube.com/watch?v=8TupzZJoF1s" TargetMode="External" /><Relationship Type="http://schemas.openxmlformats.org/officeDocument/2006/relationships/hyperlink" Id="rId30" Target="https://www.youtube.com/watch?v=BWbTqVlhVhQ" TargetMode="External" /><Relationship Type="http://schemas.openxmlformats.org/officeDocument/2006/relationships/hyperlink" Id="rId141" Target="https://www.youtube.com/watch?v=BdDCzkER9q0" TargetMode="External" /><Relationship Type="http://schemas.openxmlformats.org/officeDocument/2006/relationships/hyperlink" Id="rId69" Target="https://www.youtube.com/watch?v=JCs4QQf0i4M" TargetMode="External" /><Relationship Type="http://schemas.openxmlformats.org/officeDocument/2006/relationships/hyperlink" Id="rId32" Target="https://www.youtube.com/watch?v=OpMTUsTxhEU" TargetMode="External" /><Relationship Type="http://schemas.openxmlformats.org/officeDocument/2006/relationships/hyperlink" Id="rId21" Target="https://www.youtube.com/watch?v=YEXOCuuqo4k" TargetMode="External" /><Relationship Type="http://schemas.openxmlformats.org/officeDocument/2006/relationships/hyperlink" Id="rId49" Target="https://www.youtube.com/watch?v=ZTorZWDLMlU" TargetMode="External" /><Relationship Type="http://schemas.openxmlformats.org/officeDocument/2006/relationships/hyperlink" Id="rId94" Target="https://www.youtube.com/watch?v=a2HlEQdDlLY" TargetMode="External" /><Relationship Type="http://schemas.openxmlformats.org/officeDocument/2006/relationships/hyperlink" Id="rId107" Target="https://www.youtube.com/watch?v=b1s-vdXM46A" TargetMode="External" /><Relationship Type="http://schemas.openxmlformats.org/officeDocument/2006/relationships/hyperlink" Id="rId85" Target="https://www.youtube.com/watch?v=e1g4LIWLJDA" TargetMode="External" /><Relationship Type="http://schemas.openxmlformats.org/officeDocument/2006/relationships/hyperlink" Id="rId56" Target="https://www.youtube.com/watch?v=fn39vx1ADvs" TargetMode="External" /><Relationship Type="http://schemas.openxmlformats.org/officeDocument/2006/relationships/hyperlink" Id="rId102" Target="https://www.youtube.com/watch?v=hc1Q4VRKYyY" TargetMode="External" /><Relationship Type="http://schemas.openxmlformats.org/officeDocument/2006/relationships/hyperlink" Id="rId139" Target="https://www.youtube.com/watch?v=zVc9H1AoilQ" TargetMode="External" /><Relationship Type="http://schemas.openxmlformats.org/officeDocument/2006/relationships/hyperlink" Id="rId91" Target="https://x.com/AgPhDMedia/status/2028873945189880246" TargetMode="External" /><Relationship Type="http://schemas.openxmlformats.org/officeDocument/2006/relationships/hyperlink" Id="rId45" Target="https://x.com/DeItaone/status/2028878212877389940" TargetMode="External" /><Relationship Type="http://schemas.openxmlformats.org/officeDocument/2006/relationships/hyperlink" Id="rId43" Target="https://x.com/GoddessofGrain/status/2028880027589149082" TargetMode="External" /><Relationship Type="http://schemas.openxmlformats.org/officeDocument/2006/relationships/hyperlink" Id="rId125" Target="https://x.com/SuccessfulFarm/status/2028983907467546701" TargetMode="External" /><Relationship Type="http://schemas.openxmlformats.org/officeDocument/2006/relationships/hyperlink" Id="rId28" Target="https://youtube.com/watch?v=YEXOCuuqo4k&amp;t=75" TargetMode="External" /><Relationship Type="http://schemas.openxmlformats.org/officeDocument/2006/relationships/hyperlink" Id="rId99" Target="https://youtube.com/watch?v=a2HlEQdDlLY&amp;t=18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Urea jumps on Hormuz risk as Brazil harvest delays reshape corn/soy decisions</dc:title>
  <dc:creator>Global Agricultural Developments</dc:creator>
  <cp:keywords/>
  <dcterms:created xsi:type="dcterms:W3CDTF">2026-03-04T22:06:31Z</dcterms:created>
  <dcterms:modified xsi:type="dcterms:W3CDTF">2026-03-04T22:06:31Z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2026-03-04</vt:lpwstr>
  </property>
</Properties>
</file>