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 AI Framework, Europe’s Sovereignty Push, and a Harder Look at Serving Economics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2026-03-29</w:t>
      </w:r>
    </w:p>
    <w:bookmarkStart w:id="34" w:name="X687fb9509015407fbf98c376658b0447250570b"/>
    <w:p>
      <w:pPr>
        <w:pStyle w:val="Heading1"/>
      </w:pPr>
      <w:r>
        <w:t xml:space="preserve">US AI Framework, Europe’s Sovereignty Push, and a Harder Look at Serving Economics</w:t>
      </w:r>
    </w:p>
    <w:p>
      <w:pPr>
        <w:pStyle w:val="FirstParagraph"/>
      </w:pPr>
      <w:r>
        <w:rPr>
          <w:iCs/>
          <w:i/>
        </w:rPr>
        <w:t xml:space="preserve">By AI News Digest • March 29, 2026</w:t>
      </w:r>
    </w:p>
    <w:p>
      <w:pPr>
        <w:pStyle w:val="BodyText"/>
      </w:pPr>
      <w:r>
        <w:t xml:space="preserve">Policy and control dominated today’s AI news. A broader US framework linked safety, power, copyright, and AI exports, while European leaders sharpened the case for sovereign AI infrastructure and public procurement; meanwhile, technical discussion centered on token scarcity, production-trained agents, and KV-cache efficiency.</w:t>
      </w:r>
    </w:p>
    <w:bookmarkStart w:id="22" w:name="Xf8815d53c087fa3f75adfba6d06378940041ae6"/>
    <w:p>
      <w:pPr>
        <w:pStyle w:val="Heading2"/>
      </w:pPr>
      <w:r>
        <w:t xml:space="preserve">Policy and sovereignty moved to the foreground</w:t>
      </w:r>
    </w:p>
    <w:bookmarkStart w:id="20" w:name="a-broader-us-ai-agenda-is-taking-shape"/>
    <w:p>
      <w:pPr>
        <w:pStyle w:val="Heading3"/>
      </w:pPr>
      <w:r>
        <w:t xml:space="preserve">A broader US AI agenda is taking shape</w:t>
      </w:r>
    </w:p>
    <w:p>
      <w:pPr>
        <w:pStyle w:val="FirstParagraph"/>
      </w:pPr>
      <w:r>
        <w:t xml:space="preserve">At FII Miami, speakers described a newly released US AI framework as the country’s first holistic one, highlighting parental tools for child online safety, data-center permitting that protects ratepayers, and clearer rules against illegal use of a person’s name, image, likeness, or copyrighted material in model outputs [1]. The same discussion tied domestic policy to international distribution through the American AI Export Program and a new US Tech Corps meant to help other countries adopt US AI technology 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policy conversation is broadening beyond model safety into infrastructure, creator protections, and export strategy [1].</w:t>
      </w:r>
    </w:p>
    <w:bookmarkEnd w:id="20"/>
    <w:bookmarkStart w:id="21" w:name="X34a18ad2d43e16674551e0fed9fcb614731a204"/>
    <w:p>
      <w:pPr>
        <w:pStyle w:val="Heading3"/>
      </w:pPr>
      <w:r>
        <w:t xml:space="preserve">Europe is making a more concrete case for AI sovereignty</w:t>
      </w:r>
    </w:p>
    <w:p>
      <w:pPr>
        <w:pStyle w:val="FirstParagraph"/>
      </w:pPr>
      <w:r>
        <w:t xml:space="preserve">Mistral CEO Arthur Mensch said European customers are actively trying to reduce dependence on US digital providers, noting that 80% of Europe’s digital services are imported from the US and arguing that AI turns that dependence into a continuity risk if a provider can raise prices or shut systems off [2]. He said Mistral is vertically integrated from data centers to applications and urged governments to act as market makers through public-sector demand, citing its</w:t>
      </w:r>
      <w:r>
        <w:t xml:space="preserve"> </w:t>
      </w:r>
      <w:r>
        <w:t xml:space="preserve">“</w:t>
      </w:r>
      <w:r>
        <w:t xml:space="preserve">AI for Citizen</w:t>
      </w:r>
      <w:r>
        <w:t xml:space="preserve">”</w:t>
      </w:r>
      <w:r>
        <w:t xml:space="preserve"> </w:t>
      </w:r>
      <w:r>
        <w:t xml:space="preserve">work with Germany, France, and Luxembourg [2].</w:t>
      </w:r>
    </w:p>
    <w:p>
      <w:pPr>
        <w:pStyle w:val="BodyText"/>
      </w:pPr>
      <w:r>
        <w:t xml:space="preserve">Nathan Benaich made a parallel case that sovereignty is becoming a real factor in European defense and security investing, and said Air Street Capital has raised a $232 million Fund III for high-conviction AI bets across areas including biotech, defense, vertical software, and developer infrastructure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Europe’s AI push is being framed less as rhetoric and more as a stack of practical levers: local infrastructure, public procurement, defense autonomy, and dedicated capital [2, 3].</w:t>
      </w:r>
    </w:p>
    <w:bookmarkEnd w:id="21"/>
    <w:bookmarkEnd w:id="22"/>
    <w:bookmarkStart w:id="33" w:name="Xbe4a9cfcd7f91417bc1e83b1e44857503cb4227"/>
    <w:p>
      <w:pPr>
        <w:pStyle w:val="Heading2"/>
      </w:pPr>
      <w:r>
        <w:t xml:space="preserve">The stack keeps shifting toward production economics</w:t>
      </w:r>
    </w:p>
    <w:bookmarkStart w:id="23" w:name="Xdf53f2509cd2f2d2e2c53254129dba85062ad5a"/>
    <w:p>
      <w:pPr>
        <w:pStyle w:val="Heading3"/>
      </w:pPr>
      <w:r>
        <w:t xml:space="preserve">Token supply and product margins are becoming strategic constraints</w:t>
      </w:r>
    </w:p>
    <w:p>
      <w:pPr>
        <w:pStyle w:val="FirstParagraph"/>
      </w:pPr>
      <w:r>
        <w:t xml:space="preserve">Mustafa Suleyman argued that for at least the next couple of years, AI demand will</w:t>
      </w:r>
      <w:r>
        <w:t xml:space="preserve"> </w:t>
      </w:r>
      <w:r>
        <w:t xml:space="preserve">“</w:t>
      </w:r>
      <w:r>
        <w:t xml:space="preserve">wildly outstrip</w:t>
      </w:r>
      <w:r>
        <w:t xml:space="preserve">”</w:t>
      </w:r>
      <w:r>
        <w:t xml:space="preserve"> </w:t>
      </w:r>
      <w:r>
        <w:t xml:space="preserve">token supply, making margins a core differentiator for products that need to pay for inference [4]. He also pointed to a compounding product loop: lower latency improves retention, retention produces data, and that data improves the product and drives more adoption [4].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concise picture of the current competitive environment: latency, serving cost, and data flywheels may matter as much as raw model quality [4].</w:t>
      </w:r>
    </w:p>
    <w:bookmarkEnd w:id="23"/>
    <w:bookmarkStart w:id="24" w:name="X41f0f0f04e8efb925d670a88da28835cd63ab6b"/>
    <w:p>
      <w:pPr>
        <w:pStyle w:val="Heading3"/>
      </w:pPr>
      <w:r>
        <w:t xml:space="preserve">A shared RL recipe is emerging for vertical agents</w:t>
      </w:r>
    </w:p>
    <w:p>
      <w:pPr>
        <w:pStyle w:val="FirstParagraph"/>
      </w:pPr>
      <w:r>
        <w:t xml:space="preserve">A common training pattern is showing up across Kimi, Cursor, and Chroma: start with a strong base model, train inside the production harness, and optimize with outcome-based rewards [5]. In the examples highlighted, Kimi K2.5 learns to spawn parallel sub-agents, Cursor learns self-summarization using the same tools and prompts as production, and Chroma’s 20B retrieval model learns to prune its own context mid-search [5].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differentiator is moving further away from one-shot chat performance and closer to how models behave inside real workflows with tools, memory, and task structure [5].</w:t>
      </w:r>
    </w:p>
    <w:bookmarkEnd w:id="24"/>
    <w:bookmarkStart w:id="25" w:name="X4e37dea4adf10c71e3c10f65be53594c0d4f2f5"/>
    <w:p>
      <w:pPr>
        <w:pStyle w:val="Heading3"/>
      </w:pPr>
      <w:r>
        <w:t xml:space="preserve">An open TurboQuant implementation highlights a practical memory path</w:t>
      </w:r>
    </w:p>
    <w:p>
      <w:pPr>
        <w:pStyle w:val="FirstParagraph"/>
      </w:pPr>
      <w:r>
        <w:t xml:space="preserve">An independent implementation of Google’s TurboQuant paper reports KV-cache compression to 3-4 bits without training or calibration, as a drop-in Hugging Face replacement compatible with any LLM [6]. On Mistral-7B, the project reports 3.8x compression at 4-bit with identical quality and up to 5.7x at 2.5-bit with minor differences, while reproducing a 1.85x attention speedup on A100 rather than the paper’s claimed 8x [6].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Even with more modest speedups than the paper claimed, the implementation suggests KV memory remains a practical lever for serving longer-context models more efficiently [6].</w:t>
      </w:r>
    </w:p>
    <w:p>
      <w:r>
        <w:pict>
          <v:rect style="width:0;height:1.5pt" o:hralign="center" o:hrstd="t" o:hr="t"/>
        </w:pict>
      </w:r>
    </w:p>
    <w:bookmarkEnd w:id="25"/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FII Priority MIAMI 2026 DAY2: Should governments lead or follow on AI?</w:t>
        </w:r>
      </w:hyperlink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Interview mit Mistral AI-Gründer Arthur Mensch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From $27M to $232M: How I Built Europe’s Largest Solo AI Fund | Nathan Benaich on TBPN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r/LocalLLM post by u/proudmaker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reddit.com/r/LocalLLM/comments/1s6edoi/" TargetMode="External" /><Relationship Type="http://schemas.openxmlformats.org/officeDocument/2006/relationships/hyperlink" Id="rId26" Target="https://www.youtube.com/watch?v=42ll8oqQbbY" TargetMode="External" /><Relationship Type="http://schemas.openxmlformats.org/officeDocument/2006/relationships/hyperlink" Id="rId28" Target="https://www.youtube.com/watch?v=KQLXFwyQ-Yg" TargetMode="External" /><Relationship Type="http://schemas.openxmlformats.org/officeDocument/2006/relationships/hyperlink" Id="rId27" Target="https://www.youtube.com/watch?v=pGUd8LHk30U" TargetMode="External" /><Relationship Type="http://schemas.openxmlformats.org/officeDocument/2006/relationships/hyperlink" Id="rId30" Target="https://x.com/_philschmid/status/2037925148599243005" TargetMode="External" /><Relationship Type="http://schemas.openxmlformats.org/officeDocument/2006/relationships/hyperlink" Id="rId29" Target="https://x.com/mustafasuleyman/status/203796481057529059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reddit.com/r/LocalLLM/comments/1s6edoi/" TargetMode="External" /><Relationship Type="http://schemas.openxmlformats.org/officeDocument/2006/relationships/hyperlink" Id="rId26" Target="https://www.youtube.com/watch?v=42ll8oqQbbY" TargetMode="External" /><Relationship Type="http://schemas.openxmlformats.org/officeDocument/2006/relationships/hyperlink" Id="rId28" Target="https://www.youtube.com/watch?v=KQLXFwyQ-Yg" TargetMode="External" /><Relationship Type="http://schemas.openxmlformats.org/officeDocument/2006/relationships/hyperlink" Id="rId27" Target="https://www.youtube.com/watch?v=pGUd8LHk30U" TargetMode="External" /><Relationship Type="http://schemas.openxmlformats.org/officeDocument/2006/relationships/hyperlink" Id="rId30" Target="https://x.com/_philschmid/status/2037925148599243005" TargetMode="External" /><Relationship Type="http://schemas.openxmlformats.org/officeDocument/2006/relationships/hyperlink" Id="rId29" Target="https://x.com/mustafasuleyman/status/203796481057529059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AI Framework, Europe’s Sovereignty Push, and a Harder Look at Serving Economics</dc:title>
  <dc:creator>AI News Digest</dc:creator>
  <cp:keywords/>
  <dcterms:created xsi:type="dcterms:W3CDTF">2026-03-29T20:03:24Z</dcterms:created>
  <dcterms:modified xsi:type="dcterms:W3CDTF">2026-03-29T20:03:24Z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2026-03-29</vt:lpwstr>
  </property>
</Properties>
</file>