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2.jpg" ContentType="image/jpeg"/>
  <Override PartName="/word/media/rId1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USDA shifts 2026/27 acres toward soybeans as KC wheat breaks out and Brazil harvest weather adds risk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2026-02-20</w:t>
      </w:r>
    </w:p>
    <w:bookmarkStart w:id="137" w:name="Xd28d764dcc285e6c73ae746297db94c4badb8f1"/>
    <w:p>
      <w:pPr>
        <w:pStyle w:val="Heading1"/>
      </w:pPr>
      <w:r>
        <w:t xml:space="preserve">USDA shifts 2026/27 acres toward soybeans as KC wheat breaks out and Brazil harvest weather adds risk</w:t>
      </w:r>
    </w:p>
    <w:p>
      <w:pPr>
        <w:pStyle w:val="FirstParagraph"/>
      </w:pPr>
      <w:r>
        <w:rPr>
          <w:iCs/>
          <w:i/>
        </w:rPr>
        <w:t xml:space="preserve">By Global Agricultural Developments • February 20, 2026</w:t>
      </w:r>
    </w:p>
    <w:p>
      <w:pPr>
        <w:pStyle w:val="BodyText"/>
      </w:pPr>
      <w:r>
        <w:t xml:space="preserve">USDA’s 2026/27 outlook pushed the acres mix toward fewer corn acres and more soybean acres, while KC wheat broke to multi-month highs amid technical buying and Black Sea risk headlines. The brief also covers Brazil’s rain-driven harvest disruptions and logistics costs, plus actionable guidance on hedging, fertilizer placement, and livestock supplementation—alongside policy and weather wildcards to watch into spring.</w:t>
      </w:r>
    </w:p>
    <w:bookmarkStart w:id="58" w:name="market-movers"/>
    <w:p>
      <w:pPr>
        <w:pStyle w:val="Heading2"/>
      </w:pPr>
      <w:r>
        <w:t xml:space="preserve">Market Movers</w:t>
      </w:r>
    </w:p>
    <w:bookmarkStart w:id="33" w:name="Xf3e1bd7ad137da30a794cf584ea70e8f5fe3466"/>
    <w:p>
      <w:pPr>
        <w:pStyle w:val="Heading3"/>
      </w:pPr>
      <w:r>
        <w:t xml:space="preserve">USDA 2026/27 outlook: fewer corn acres, more soybean acres</w:t>
      </w:r>
    </w:p>
    <w:p>
      <w:pPr>
        <w:pStyle w:val="FirstParagraph"/>
      </w:pPr>
      <w:r>
        <w:t xml:space="preserve">USDA’s 2026/27 outlook discussion across market sources converged on a</w:t>
      </w:r>
      <w:r>
        <w:t xml:space="preserve"> </w:t>
      </w:r>
      <w:r>
        <w:rPr>
          <w:bCs/>
          <w:b/>
        </w:rPr>
        <w:t xml:space="preserve">corn acreage cut</w:t>
      </w:r>
      <w:r>
        <w:t xml:space="preserve"> </w:t>
      </w:r>
      <w:r>
        <w:t xml:space="preserve">alongside a</w:t>
      </w:r>
      <w:r>
        <w:t xml:space="preserve"> </w:t>
      </w:r>
      <w:r>
        <w:rPr>
          <w:bCs/>
          <w:b/>
        </w:rPr>
        <w:t xml:space="preserve">soybean acreage increase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Corn</w:t>
      </w:r>
      <w:r>
        <w:t xml:space="preserve">: projected around</w:t>
      </w:r>
      <w:r>
        <w:t xml:space="preserve"> </w:t>
      </w:r>
      <w:r>
        <w:rPr>
          <w:bCs/>
          <w:b/>
        </w:rPr>
        <w:t xml:space="preserve">94M planted acres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183 bpa</w:t>
      </w:r>
      <w:r>
        <w:t xml:space="preserve"> </w:t>
      </w:r>
      <w:r>
        <w:t xml:space="preserve">yield and about</w:t>
      </w:r>
      <w:r>
        <w:t xml:space="preserve"> </w:t>
      </w:r>
      <w:r>
        <w:rPr>
          <w:bCs/>
          <w:b/>
        </w:rPr>
        <w:t xml:space="preserve">1.837–1.84B carryout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Soybeans</w:t>
      </w:r>
      <w:r>
        <w:t xml:space="preserve">: projected around</w:t>
      </w:r>
      <w:r>
        <w:t xml:space="preserve"> </w:t>
      </w:r>
      <w:r>
        <w:rPr>
          <w:bCs/>
          <w:b/>
        </w:rPr>
        <w:t xml:space="preserve">85M planted acres</w:t>
      </w:r>
      <w:r>
        <w:t xml:space="preserve">,</w:t>
      </w:r>
      <w:r>
        <w:t xml:space="preserve"> </w:t>
      </w:r>
      <w:r>
        <w:rPr>
          <w:bCs/>
          <w:b/>
        </w:rPr>
        <w:t xml:space="preserve">53 bpa</w:t>
      </w:r>
      <w:r>
        <w:t xml:space="preserve"> </w:t>
      </w:r>
      <w:r>
        <w:t xml:space="preserve">yield, and</w:t>
      </w:r>
      <w:r>
        <w:t xml:space="preserve"> </w:t>
      </w:r>
      <w:r>
        <w:rPr>
          <w:bCs/>
          <w:b/>
        </w:rPr>
        <w:t xml:space="preserve">355M carryout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7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Wheat</w:t>
      </w:r>
      <w:r>
        <w:t xml:space="preserve">: projected around</w:t>
      </w:r>
      <w:r>
        <w:t xml:space="preserve"> </w:t>
      </w:r>
      <w:r>
        <w:rPr>
          <w:bCs/>
          <w:b/>
        </w:rPr>
        <w:t xml:space="preserve">45M planted acres</w:t>
      </w:r>
      <w:r>
        <w:t xml:space="preserve">,</w:t>
      </w:r>
      <w:r>
        <w:t xml:space="preserve"> </w:t>
      </w:r>
      <w:r>
        <w:rPr>
          <w:bCs/>
          <w:b/>
        </w:rPr>
        <w:t xml:space="preserve">50.8</w:t>
      </w:r>
      <w:r>
        <w:t xml:space="preserve"> </w:t>
      </w:r>
      <w:r>
        <w:t xml:space="preserve">yield, and</w:t>
      </w:r>
      <w:r>
        <w:t xml:space="preserve"> </w:t>
      </w:r>
      <w:r>
        <w:rPr>
          <w:bCs/>
          <w:b/>
        </w:rPr>
        <w:t xml:space="preserve">933M carryout</w:t>
      </w:r>
      <w:r>
        <w:t xml:space="preserve"> </w:t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0"/>
      </w:r>
    </w:p>
    <w:p>
      <w:pPr>
        <w:pStyle w:val="FirstParagraph"/>
      </w:pPr>
      <w:r>
        <w:t xml:space="preserve">One summary of the release described</w:t>
      </w:r>
      <w:r>
        <w:t xml:space="preserve"> </w:t>
      </w:r>
      <w:r>
        <w:rPr>
          <w:bCs/>
          <w:b/>
        </w:rPr>
        <w:t xml:space="preserve">corn acres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little lower than expected</w:t>
      </w:r>
      <w:r>
        <w:rPr>
          <w:bCs/>
          <w:b/>
        </w:rP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carryout at 1.8</w:t>
      </w:r>
      <w:r>
        <w:t xml:space="preserve">,</w:t>
      </w:r>
      <w:r>
        <w:t xml:space="preserve"> </w:t>
      </w:r>
      <w:r>
        <w:rPr>
          <w:bCs/>
          <w:b/>
        </w:rPr>
        <w:t xml:space="preserve">bean acres higher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carryout at 355</w:t>
      </w:r>
      <w:r>
        <w:t xml:space="preserve">, and</w:t>
      </w:r>
      <w:r>
        <w:t xml:space="preserve"> </w:t>
      </w:r>
      <w:r>
        <w:rPr>
          <w:bCs/>
          <w:b/>
        </w:rPr>
        <w:t xml:space="preserve">wheat steady year-over-year at 933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bookmarkEnd w:id="33"/>
    <w:bookmarkStart w:id="46" w:name="X1733d66752fae9c6c864e32d586b781a9b6ff47"/>
    <w:p>
      <w:pPr>
        <w:pStyle w:val="Heading3"/>
      </w:pPr>
      <w:r>
        <w:t xml:space="preserve">Price action (Feb. 19): soybeans and wheat firmer; corn lagged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Futures snapshot (Feb. 19):</w:t>
      </w:r>
      <w:r>
        <w:t xml:space="preserve"> </w:t>
      </w:r>
      <w:r>
        <w:t xml:space="preserve">March corn</w:t>
      </w:r>
      <w:r>
        <w:t xml:space="preserve"> </w:t>
      </w:r>
      <w:r>
        <w:rPr>
          <w:bCs/>
          <w:b/>
        </w:rPr>
        <w:t xml:space="preserve">$4.27¼</w:t>
      </w:r>
      <w:r>
        <w:t xml:space="preserve">; March soybeans</w:t>
      </w:r>
      <w:r>
        <w:t xml:space="preserve"> </w:t>
      </w:r>
      <w:r>
        <w:rPr>
          <w:bCs/>
          <w:b/>
        </w:rPr>
        <w:t xml:space="preserve">$11.37¾</w:t>
      </w:r>
      <w:r>
        <w:t xml:space="preserve">; March Chicago wheat</w:t>
      </w:r>
      <w:r>
        <w:t xml:space="preserve"> </w:t>
      </w:r>
      <w:r>
        <w:rPr>
          <w:bCs/>
          <w:b/>
        </w:rPr>
        <w:t xml:space="preserve">$5.53¾</w:t>
      </w:r>
      <w:r>
        <w:t xml:space="preserve">; March KC wheat</w:t>
      </w:r>
      <w:r>
        <w:t xml:space="preserve"> </w:t>
      </w:r>
      <w:r>
        <w:rPr>
          <w:bCs/>
          <w:b/>
        </w:rPr>
        <w:t xml:space="preserve">$5.58¼</w:t>
      </w:r>
      <w:r>
        <w:t xml:space="preserve">; March spring wheat</w:t>
      </w:r>
      <w:r>
        <w:t xml:space="preserve"> </w:t>
      </w:r>
      <w:r>
        <w:rPr>
          <w:bCs/>
          <w:b/>
        </w:rPr>
        <w:t xml:space="preserve">$5.77½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FirstParagraph"/>
      </w:pPr>
      <w:r>
        <w:t xml:space="preserve">Market commentary tied wheat strength to</w:t>
      </w:r>
      <w:r>
        <w:t xml:space="preserve"> </w:t>
      </w:r>
      <w:r>
        <w:rPr>
          <w:bCs/>
          <w:b/>
        </w:rPr>
        <w:t xml:space="preserve">short covering/technical buying</w:t>
      </w:r>
      <w:r>
        <w:t xml:space="preserve">, with additional support from</w:t>
      </w:r>
      <w:r>
        <w:t xml:space="preserve"> </w:t>
      </w:r>
      <w:r>
        <w:rPr>
          <w:bCs/>
          <w:b/>
        </w:rPr>
        <w:t xml:space="preserve">production concerns in the U.S. and the Black Sea</w:t>
      </w:r>
      <w:r>
        <w:t xml:space="preserve"> </w:t>
      </w:r>
      <w:r>
        <w:t xml:space="preserve">plus</w:t>
      </w:r>
      <w:r>
        <w:t xml:space="preserve"> </w:t>
      </w:r>
      <w:r>
        <w:rPr>
          <w:bCs/>
          <w:b/>
        </w:rPr>
        <w:t xml:space="preserve">Middle East geopolitical risks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BodyText"/>
      </w:pPr>
      <w:r>
        <w:t xml:space="preserve">Corn was described as struggling near</w:t>
      </w:r>
      <w:r>
        <w:t xml:space="preserve"> </w:t>
      </w:r>
      <w:r>
        <w:rPr>
          <w:bCs/>
          <w:b/>
        </w:rPr>
        <w:t xml:space="preserve">chart resistance (430–435)</w:t>
      </w:r>
      <w:r>
        <w:t xml:space="preserve"> </w:t>
      </w:r>
      <w:r>
        <w:t xml:space="preserve">into first notice day/delivery dynamics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, while also being weighed down by a</w:t>
      </w:r>
      <w:r>
        <w:t xml:space="preserve"> </w:t>
      </w:r>
      <w:r>
        <w:t xml:space="preserve">“</w:t>
      </w:r>
      <w:r>
        <w:rPr>
          <w:bCs/>
          <w:b/>
        </w:rPr>
        <w:t xml:space="preserve">too much of it</w:t>
      </w:r>
      <w:r>
        <w:t xml:space="preserve">”</w:t>
      </w:r>
      <w:r>
        <w:t xml:space="preserve"> </w:t>
      </w:r>
      <w:r>
        <w:t xml:space="preserve">framing in one discussion of supply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bookmarkEnd w:id="46"/>
    <w:bookmarkStart w:id="57" w:name="kc-wheat-breakout-hedging-signals"/>
    <w:p>
      <w:pPr>
        <w:pStyle w:val="Heading3"/>
      </w:pPr>
      <w:r>
        <w:t xml:space="preserve">KC wheat: breakout + hedging signals</w:t>
      </w:r>
    </w:p>
    <w:p>
      <w:pPr>
        <w:pStyle w:val="FirstParagraph"/>
      </w:pPr>
      <w:r>
        <w:t xml:space="preserve">KC wheat was flagged at</w:t>
      </w:r>
      <w:r>
        <w:t xml:space="preserve"> </w:t>
      </w:r>
      <w:r>
        <w:rPr>
          <w:bCs/>
          <w:b/>
        </w:rPr>
        <w:t xml:space="preserve">8‑month highs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trading to its highest levels since summer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9"/>
      </w:r>
      <w:r>
        <w:t xml:space="preserve">. Technical notes said KC wheat</w:t>
      </w:r>
      <w:r>
        <w:t xml:space="preserve"> </w:t>
      </w:r>
      <w:r>
        <w:rPr>
          <w:bCs/>
          <w:b/>
        </w:rPr>
        <w:t xml:space="preserve">broke out of a multi‑year wedge</w:t>
      </w:r>
      <w:r>
        <w:t xml:space="preserve"> </w:t>
      </w:r>
      <w:r>
        <w:t xml:space="preserve">and is on its</w:t>
      </w:r>
      <w:r>
        <w:t xml:space="preserve"> </w:t>
      </w:r>
      <w:r>
        <w:rPr>
          <w:bCs/>
          <w:b/>
        </w:rPr>
        <w:t xml:space="preserve">longest sustained rally since 2021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, now pressing a</w:t>
      </w:r>
      <w:r>
        <w:t xml:space="preserve"> </w:t>
      </w:r>
      <w:r>
        <w:rPr>
          <w:bCs/>
          <w:b/>
        </w:rPr>
        <w:t xml:space="preserve">key resistance level</w:t>
      </w:r>
      <w:r>
        <w:t xml:space="preserve"> </w:t>
      </w:r>
      <w:r>
        <w:t xml:space="preserve">where a break</w:t>
      </w:r>
      <w:r>
        <w:t xml:space="preserve"> </w:t>
      </w:r>
      <w:r>
        <w:t xml:space="preserve">“</w:t>
      </w:r>
      <w:r>
        <w:t xml:space="preserve">could spark further upside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pStyle w:val="BodyText"/>
      </w:pPr>
      <w:r>
        <w:t xml:space="preserve">A producer-focused hedge alert noted KC wheat is nearing a target discussed</w:t>
      </w:r>
      <w:r>
        <w:t xml:space="preserve"> </w:t>
      </w:r>
      <w:r>
        <w:t xml:space="preserve">“</w:t>
      </w:r>
      <w:r>
        <w:t xml:space="preserve">for months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 </w:t>
      </w:r>
      <w:r>
        <w:t xml:space="preserve">and suggested, for those needing cash flow and unable to store,</w:t>
      </w:r>
      <w:r>
        <w:t xml:space="preserve"> </w:t>
      </w:r>
      <w:r>
        <w:rPr>
          <w:bCs/>
          <w:b/>
        </w:rPr>
        <w:t xml:space="preserve">incremental sales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options protection (puts/calls)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bookmarkEnd w:id="57"/>
    <w:bookmarkEnd w:id="58"/>
    <w:bookmarkStart w:id="75" w:name="innovation-spotlight"/>
    <w:p>
      <w:pPr>
        <w:pStyle w:val="Heading2"/>
      </w:pPr>
      <w:r>
        <w:t xml:space="preserve">Innovation Spotlight</w:t>
      </w:r>
    </w:p>
    <w:bookmarkStart w:id="66" w:name="Xc1ba65ef8ae287df9c5d9cb24c5a24a0b592268"/>
    <w:p>
      <w:pPr>
        <w:pStyle w:val="Heading3"/>
      </w:pPr>
      <w:r>
        <w:t xml:space="preserve">Brazil (Santa Catarina): open‑pollinated corn variety targets stability under drought</w:t>
      </w:r>
    </w:p>
    <w:p>
      <w:pPr>
        <w:pStyle w:val="FirstParagraph"/>
      </w:pPr>
      <w:r>
        <w:t xml:space="preserve">At the Itaipu Rural Show, Ipagri highlighted a new</w:t>
      </w:r>
      <w:r>
        <w:t xml:space="preserve"> </w:t>
      </w:r>
      <w:r>
        <w:rPr>
          <w:bCs/>
          <w:b/>
        </w:rPr>
        <w:t xml:space="preserve">open‑pollinated corn variety (VPA)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lower seed cost</w:t>
      </w:r>
      <w:r>
        <w:t xml:space="preserve">, current yields around</w:t>
      </w:r>
      <w:r>
        <w:t xml:space="preserve"> </w:t>
      </w:r>
      <w:r>
        <w:rPr>
          <w:bCs/>
          <w:b/>
        </w:rPr>
        <w:t xml:space="preserve">160–165 sacas/ha</w:t>
      </w:r>
      <w:r>
        <w:t xml:space="preserve">, and potential up to</w:t>
      </w:r>
      <w:r>
        <w:t xml:space="preserve"> </w:t>
      </w:r>
      <w:r>
        <w:rPr>
          <w:bCs/>
          <w:b/>
        </w:rPr>
        <w:t xml:space="preserve">200 sacas/ha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 The variety’s</w:t>
      </w:r>
      <w:r>
        <w:t xml:space="preserve"> </w:t>
      </w:r>
      <w:r>
        <w:rPr>
          <w:bCs/>
          <w:b/>
        </w:rPr>
        <w:t xml:space="preserve">longer flowering period</w:t>
      </w:r>
      <w:r>
        <w:t xml:space="preserve"> </w:t>
      </w:r>
      <w:r>
        <w:t xml:space="preserve">was presented as a way to reduce losses during</w:t>
      </w:r>
      <w:r>
        <w:t xml:space="preserve"> </w:t>
      </w:r>
      <w:r>
        <w:rPr>
          <w:bCs/>
          <w:b/>
        </w:rPr>
        <w:t xml:space="preserve">dry spells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p>
      <w:pPr>
        <w:pStyle w:val="BodyText"/>
      </w:pPr>
      <w:hyperlink r:id="rId65">
        <w:r>
          <w:drawing>
            <wp:inline>
              <wp:extent cx="5334000" cy="4000500"/>
              <wp:effectExtent b="0" l="0" r="0" t="0"/>
              <wp:docPr descr="Como as tecnologias estão influenciando as decisões do produtor para 2026?" title="" id="63" name="Picture"/>
              <a:graphic>
                <a:graphicData uri="http://schemas.openxmlformats.org/drawingml/2006/picture">
                  <pic:pic>
                    <pic:nvPicPr>
                      <pic:cNvPr descr="https://img.youtube.com/vi/CGOTzweTUrI/hqdefault.jpg" id="6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6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Como as tecnologias estão influenciando as decisões do produtor para 2026? (2:01)</w:t>
      </w:r>
    </w:p>
    <w:bookmarkEnd w:id="66"/>
    <w:bookmarkStart w:id="71" w:name="Xa7ad192d5b97e9dd5884d0ff8502e380def17a5"/>
    <w:p>
      <w:pPr>
        <w:pStyle w:val="Heading3"/>
      </w:pPr>
      <w:r>
        <w:t xml:space="preserve">Brazil: scaling ag-tech depends on shared connectivity models</w:t>
      </w:r>
    </w:p>
    <w:p>
      <w:pPr>
        <w:pStyle w:val="FirstParagraph"/>
      </w:pPr>
      <w:r>
        <w:t xml:space="preserve">ABDI described connectivity as a core bottleneck for</w:t>
      </w:r>
      <w:r>
        <w:t xml:space="preserve"> </w:t>
      </w:r>
      <w:r>
        <w:t xml:space="preserve">“</w:t>
      </w:r>
      <w:r>
        <w:t xml:space="preserve">agriculture 4.0,</w:t>
      </w:r>
      <w:r>
        <w:t xml:space="preserve">”</w:t>
      </w:r>
      <w:r>
        <w:t xml:space="preserve"> </w:t>
      </w:r>
      <w:r>
        <w:t xml:space="preserve">citing</w:t>
      </w:r>
      <w:r>
        <w:t xml:space="preserve"> </w:t>
      </w:r>
      <w:r>
        <w:rPr>
          <w:bCs/>
          <w:b/>
        </w:rPr>
        <w:t xml:space="preserve">70% of Brazil’s territory without connectivity coverage</w:t>
      </w:r>
      <w:r>
        <w:t xml:space="preserve"> </w:t>
      </w:r>
      <w:r>
        <w:t xml:space="preserve">and highlighting</w:t>
      </w:r>
      <w:r>
        <w:t xml:space="preserve"> </w:t>
      </w:r>
      <w:r>
        <w:rPr>
          <w:bCs/>
          <w:b/>
        </w:rPr>
        <w:t xml:space="preserve">shared infrastructure</w:t>
      </w:r>
      <w:r>
        <w:t xml:space="preserve"> </w:t>
      </w:r>
      <w:r>
        <w:t xml:space="preserve">(e.g., cooperative antennas/satellite) as a practical model for smaller producers</w:t>
      </w:r>
      <w:r>
        <w:t xml:space="preserve"> </w:t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9"/>
      </w:r>
      <w:r>
        <w:t xml:space="preserve">.</w:t>
      </w:r>
    </w:p>
    <w:p>
      <w:pPr>
        <w:pStyle w:val="BodyText"/>
      </w:pPr>
      <w:r>
        <w:t xml:space="preserve">A Rio Grande do Sul example described a microclimate platform that aggregates multiple weather stations and offers access for about</w:t>
      </w:r>
      <w:r>
        <w:t xml:space="preserve"> </w:t>
      </w:r>
      <w:r>
        <w:rPr>
          <w:bCs/>
          <w:b/>
        </w:rPr>
        <w:t xml:space="preserve">R$100/month</w:t>
      </w:r>
      <w:r>
        <w:t xml:space="preserve">, making data services cheaper for smallholders than buying their own stations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Start w:id="74" w:name="X4e6a92615326948af71f859687ddda0e32d68f3"/>
    <w:p>
      <w:pPr>
        <w:pStyle w:val="Heading3"/>
      </w:pPr>
      <w:r>
        <w:t xml:space="preserve">Regenerative systems: new efforts to standardize definitions and measurement</w:t>
      </w:r>
    </w:p>
    <w:p>
      <w:pPr>
        <w:pStyle w:val="FirstParagraph"/>
      </w:pPr>
      <w:r>
        <w:t xml:space="preserve">A Spain-based effort set out</w:t>
      </w:r>
      <w:r>
        <w:t xml:space="preserve"> </w:t>
      </w:r>
      <w:r>
        <w:rPr>
          <w:bCs/>
          <w:b/>
        </w:rPr>
        <w:t xml:space="preserve">10 consensus-based scientific criteria</w:t>
      </w:r>
      <w:r>
        <w:t xml:space="preserve"> </w:t>
      </w:r>
      <w:r>
        <w:t xml:space="preserve">for regenerative agriculture and cited findings that regenerative soils can</w:t>
      </w:r>
      <w:r>
        <w:t xml:space="preserve"> </w:t>
      </w:r>
      <w:r>
        <w:rPr>
          <w:bCs/>
          <w:b/>
        </w:rPr>
        <w:t xml:space="preserve">sequester at least 35% more carbon</w:t>
      </w:r>
      <w:r>
        <w:t xml:space="preserve"> </w:t>
      </w:r>
      <w:r>
        <w:t xml:space="preserve">and buffer summer ground temperatures by</w:t>
      </w:r>
      <w:r>
        <w:t xml:space="preserve"> </w:t>
      </w:r>
      <w:r>
        <w:rPr>
          <w:bCs/>
          <w:b/>
        </w:rPr>
        <w:t xml:space="preserve">up to 3.6°C</w:t>
      </w:r>
      <w:r>
        <w:t xml:space="preserve">, while producing</w:t>
      </w:r>
      <w:r>
        <w:t xml:space="preserve"> </w:t>
      </w:r>
      <w:r>
        <w:rPr>
          <w:bCs/>
          <w:b/>
        </w:rPr>
        <w:t xml:space="preserve">similar yields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similar or lower cost</w:t>
      </w:r>
      <w:r>
        <w:t xml:space="preserve"> </w:t>
      </w:r>
      <w:r>
        <w:t xml:space="preserve">after transition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bookmarkEnd w:id="74"/>
    <w:bookmarkEnd w:id="75"/>
    <w:bookmarkStart w:id="99" w:name="regional-developments"/>
    <w:p>
      <w:pPr>
        <w:pStyle w:val="Heading2"/>
      </w:pPr>
      <w:r>
        <w:t xml:space="preserve">Regional Developments</w:t>
      </w:r>
    </w:p>
    <w:bookmarkStart w:id="87" w:name="X8a9fbe84caa260f61c65772c976e55503895e0b"/>
    <w:p>
      <w:pPr>
        <w:pStyle w:val="Heading3"/>
      </w:pPr>
      <w:r>
        <w:t xml:space="preserve">Brazil (Mato Grosso): harvest delays and quality loss from excess rain</w:t>
      </w:r>
    </w:p>
    <w:p>
      <w:pPr>
        <w:pStyle w:val="FirstParagraph"/>
      </w:pPr>
      <w:r>
        <w:t xml:space="preserve">In Paranatinga (MT), reports described persistent rain disrupting soybean harvest and raising uncertainty about losses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One producer cited</w:t>
      </w:r>
      <w:r>
        <w:t xml:space="preserve"> </w:t>
      </w:r>
      <w:r>
        <w:rPr>
          <w:bCs/>
          <w:b/>
        </w:rPr>
        <w:t xml:space="preserve">80 hectares</w:t>
      </w:r>
      <w:r>
        <w:t xml:space="preserve"> </w:t>
      </w:r>
      <w:r>
        <w:t xml:space="preserve">ready for harvest but inaccessible due to moisture, with grain</w:t>
      </w:r>
      <w:r>
        <w:t xml:space="preserve"> </w:t>
      </w:r>
      <w:r>
        <w:rPr>
          <w:bCs/>
          <w:b/>
        </w:rPr>
        <w:t xml:space="preserve">rotting and germinating</w:t>
      </w:r>
      <w:r>
        <w:t xml:space="preserve">; he estimated about</w:t>
      </w:r>
      <w:r>
        <w:t xml:space="preserve"> </w:t>
      </w:r>
      <w:r>
        <w:rPr>
          <w:bCs/>
          <w:b/>
        </w:rPr>
        <w:t xml:space="preserve">50% loss</w:t>
      </w:r>
      <w:r>
        <w:t xml:space="preserve"> </w:t>
      </w:r>
      <w:r>
        <w:t xml:space="preserve">already and warned the field could be</w:t>
      </w:r>
      <w:r>
        <w:t xml:space="preserve"> </w:t>
      </w:r>
      <w:r>
        <w:rPr>
          <w:bCs/>
          <w:b/>
        </w:rPr>
        <w:t xml:space="preserve">100% lost</w:t>
      </w:r>
      <w:r>
        <w:t xml:space="preserve"> </w:t>
      </w:r>
      <w:r>
        <w:t xml:space="preserve">if harvest couldn’t occur within</w:t>
      </w:r>
      <w:r>
        <w:t xml:space="preserve"> </w:t>
      </w:r>
      <w:r>
        <w:rPr>
          <w:bCs/>
          <w:b/>
        </w:rPr>
        <w:t xml:space="preserve">2–3 days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BodyText"/>
      </w:pPr>
      <w:r>
        <w:t xml:space="preserve">Conab progress updates said Brazil’s soybean harvest reached</w:t>
      </w:r>
      <w:r>
        <w:t xml:space="preserve"> </w:t>
      </w:r>
      <w:r>
        <w:rPr>
          <w:bCs/>
          <w:b/>
        </w:rPr>
        <w:t xml:space="preserve">24.7%</w:t>
      </w:r>
      <w:r>
        <w:t xml:space="preserve"> </w:t>
      </w:r>
      <w:r>
        <w:t xml:space="preserve">of area but remained</w:t>
      </w:r>
      <w:r>
        <w:t xml:space="preserve"> </w:t>
      </w:r>
      <w:r>
        <w:rPr>
          <w:bCs/>
          <w:b/>
        </w:rPr>
        <w:t xml:space="preserve">behind last year and the 5‑year average</w:t>
      </w:r>
      <w:r>
        <w:t xml:space="preserve"> </w:t>
      </w:r>
      <w:r>
        <w:rPr>
          <w:rStyle w:val="FootnoteReference"/>
        </w:rPr>
        <w:footnoteReference w:id="79"/>
      </w:r>
      <w:r>
        <w:rPr>
          <w:rStyle w:val="FootnoteReference"/>
        </w:rPr>
        <w:footnoteReference w:id="81"/>
      </w:r>
      <w:r>
        <w:t xml:space="preserve">.</w:t>
      </w:r>
    </w:p>
    <w:p>
      <w:pPr>
        <w:pStyle w:val="BodyText"/>
      </w:pPr>
      <w:r>
        <w:t xml:space="preserve">Second‑crop corn planting was described as delayed by rain that slows soybean harvest (about</w:t>
      </w:r>
      <w:r>
        <w:t xml:space="preserve"> </w:t>
      </w:r>
      <w:r>
        <w:rPr>
          <w:bCs/>
          <w:b/>
        </w:rPr>
        <w:t xml:space="preserve">3% behind last year</w:t>
      </w:r>
      <w:r>
        <w:t xml:space="preserve"> </w:t>
      </w:r>
      <w:r>
        <w:t xml:space="preserve">and nearly</w:t>
      </w:r>
      <w:r>
        <w:t xml:space="preserve"> </w:t>
      </w:r>
      <w:r>
        <w:rPr>
          <w:bCs/>
          <w:b/>
        </w:rPr>
        <w:t xml:space="preserve">6% behind</w:t>
      </w:r>
      <w:r>
        <w:t xml:space="preserve"> </w:t>
      </w:r>
      <w:r>
        <w:t xml:space="preserve">the 5‑year average)</w:t>
      </w:r>
      <w:r>
        <w:t xml:space="preserve"> </w:t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4"/>
      </w:r>
      <w:r>
        <w:t xml:space="preserve">. Mato Grosso was a bright spot at about</w:t>
      </w:r>
      <w:r>
        <w:t xml:space="preserve"> </w:t>
      </w:r>
      <w:r>
        <w:rPr>
          <w:bCs/>
          <w:b/>
        </w:rPr>
        <w:t xml:space="preserve">52.7%</w:t>
      </w:r>
      <w:r>
        <w:t xml:space="preserve"> </w:t>
      </w:r>
      <w:r>
        <w:t xml:space="preserve">planted—</w:t>
      </w:r>
      <w:r>
        <w:rPr>
          <w:bCs/>
          <w:b/>
        </w:rPr>
        <w:t xml:space="preserve">9.4% ahead of last year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</w:t>
      </w:r>
    </w:p>
    <w:bookmarkEnd w:id="87"/>
    <w:bookmarkStart w:id="94" w:name="X8fae31b2435cb434a86227ecef2e5125f27a0f4"/>
    <w:p>
      <w:pPr>
        <w:pStyle w:val="Heading3"/>
      </w:pPr>
      <w:r>
        <w:t xml:space="preserve">Brazil logistics: BR‑174 road conditions raise costs (Juína, MT)</w:t>
      </w:r>
    </w:p>
    <w:p>
      <w:pPr>
        <w:pStyle w:val="FirstParagraph"/>
      </w:pPr>
      <w:r>
        <w:t xml:space="preserve">Producers described BR‑174 (Juína–Vilhena corridor) as strategically important for flows toward Porto Velho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, but reported severe road impacts—e.g.,</w:t>
      </w:r>
      <w:r>
        <w:t xml:space="preserve"> </w:t>
      </w:r>
      <w:r>
        <w:rPr>
          <w:bCs/>
          <w:b/>
        </w:rPr>
        <w:t xml:space="preserve">11 km taking ~1 hour</w:t>
      </w:r>
      <w:r>
        <w:t xml:space="preserve"> </w:t>
      </w:r>
      <w:r>
        <w:t xml:space="preserve">for a truck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 </w:t>
      </w:r>
      <w:r>
        <w:t xml:space="preserve">and tire damage costing</w:t>
      </w:r>
      <w:r>
        <w:t xml:space="preserve"> </w:t>
      </w:r>
      <w:r>
        <w:rPr>
          <w:bCs/>
          <w:b/>
        </w:rPr>
        <w:t xml:space="preserve">R$6–7k</w:t>
      </w:r>
      <w:r>
        <w:t xml:space="preserve"> </w:t>
      </w:r>
      <w:r>
        <w:t xml:space="preserve">on a short trip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 Local basis impacts were also noted: soybean prices cited around</w:t>
      </w:r>
      <w:r>
        <w:t xml:space="preserve"> </w:t>
      </w:r>
      <w:r>
        <w:rPr>
          <w:bCs/>
          <w:b/>
        </w:rPr>
        <w:t xml:space="preserve">R$92–93/sack</w:t>
      </w:r>
      <w:r>
        <w:t xml:space="preserve"> </w:t>
      </w:r>
      <w:r>
        <w:t xml:space="preserve">in Juína vs</w:t>
      </w:r>
      <w:r>
        <w:t xml:space="preserve"> </w:t>
      </w:r>
      <w:r>
        <w:rPr>
          <w:bCs/>
          <w:b/>
        </w:rPr>
        <w:t xml:space="preserve">R$100–103</w:t>
      </w:r>
      <w:r>
        <w:t xml:space="preserve"> </w:t>
      </w:r>
      <w:r>
        <w:t xml:space="preserve">in Campo Novo, with losses of about</w:t>
      </w:r>
      <w:r>
        <w:t xml:space="preserve"> </w:t>
      </w:r>
      <w:r>
        <w:rPr>
          <w:bCs/>
          <w:b/>
        </w:rPr>
        <w:t xml:space="preserve">R$10/sack</w:t>
      </w:r>
      <w:r>
        <w:t xml:space="preserve"> </w:t>
      </w:r>
      <w:r>
        <w:t xml:space="preserve">attributed to logistics</w:t>
      </w:r>
      <w:r>
        <w:t xml:space="preserve"> </w:t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3"/>
      </w:r>
      <w:r>
        <w:t xml:space="preserve">.</w:t>
      </w:r>
    </w:p>
    <w:bookmarkEnd w:id="94"/>
    <w:bookmarkStart w:id="96" w:name="X0ada98703b6bb8acc682745904171bc844e78c1"/>
    <w:p>
      <w:pPr>
        <w:pStyle w:val="Heading3"/>
      </w:pPr>
      <w:r>
        <w:t xml:space="preserve">Argentina: short strike halts grain shipments</w:t>
      </w:r>
    </w:p>
    <w:p>
      <w:pPr>
        <w:pStyle w:val="FirstParagraph"/>
      </w:pPr>
      <w:r>
        <w:t xml:space="preserve">A 48‑hour strike by Argentine maritime workers was reported as bringing grain shipments</w:t>
      </w:r>
      <w:r>
        <w:t xml:space="preserve"> </w:t>
      </w:r>
      <w:r>
        <w:t xml:space="preserve">“</w:t>
      </w:r>
      <w:r>
        <w:t xml:space="preserve">to a standstill,</w:t>
      </w:r>
      <w:r>
        <w:t xml:space="preserve">”</w:t>
      </w:r>
      <w:r>
        <w:t xml:space="preserve"> </w:t>
      </w:r>
      <w:r>
        <w:t xml:space="preserve">with the main oilseed crushers union planning a separate 24‑hour strike tied to proposed labor reforms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bookmarkEnd w:id="96"/>
    <w:bookmarkStart w:id="98" w:name="X2a3b60118c9a1f7e2ff4aa4c066af4a64844ba3"/>
    <w:p>
      <w:pPr>
        <w:pStyle w:val="Heading3"/>
      </w:pPr>
      <w:r>
        <w:t xml:space="preserve">Black Sea: Ukraine winter wheat risk in the news flow</w:t>
      </w:r>
    </w:p>
    <w:p>
      <w:pPr>
        <w:pStyle w:val="FirstParagraph"/>
      </w:pPr>
      <w:r>
        <w:t xml:space="preserve">KC wheat strength was linked by some market commentary to Ukraine winter wheat risks following a</w:t>
      </w:r>
      <w:r>
        <w:t xml:space="preserve"> </w:t>
      </w:r>
      <w:r>
        <w:rPr>
          <w:bCs/>
          <w:b/>
        </w:rPr>
        <w:t xml:space="preserve">thaw and then cold snap</w:t>
      </w:r>
      <w:r>
        <w:t xml:space="preserve">, according to Ukraine’s farmers union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</w:p>
    <w:bookmarkEnd w:id="98"/>
    <w:bookmarkEnd w:id="99"/>
    <w:bookmarkStart w:id="114" w:name="best-practices"/>
    <w:p>
      <w:pPr>
        <w:pStyle w:val="Heading2"/>
      </w:pPr>
      <w:r>
        <w:t xml:space="preserve">Best Practices</w:t>
      </w:r>
    </w:p>
    <w:bookmarkStart w:id="104" w:name="Xb2436db174630c869b88bdccc3486a3d80b4cda"/>
    <w:p>
      <w:pPr>
        <w:pStyle w:val="Heading3"/>
      </w:pPr>
      <w:r>
        <w:t xml:space="preserve">Grain marketing: align hedges with storage and cash-flow constraints</w:t>
      </w:r>
    </w:p>
    <w:p>
      <w:pPr>
        <w:numPr>
          <w:ilvl w:val="0"/>
          <w:numId w:val="1003"/>
        </w:numPr>
        <w:pStyle w:val="Compact"/>
      </w:pPr>
      <w:r>
        <w:t xml:space="preserve">For producers</w:t>
      </w:r>
      <w:r>
        <w:t xml:space="preserve"> </w:t>
      </w:r>
      <w:r>
        <w:rPr>
          <w:bCs/>
          <w:b/>
        </w:rPr>
        <w:t xml:space="preserve">unable to store wheat</w:t>
      </w:r>
      <w:r>
        <w:t xml:space="preserve"> </w:t>
      </w:r>
      <w:r>
        <w:t xml:space="preserve">and needing cash flow, one hedge alert favored</w:t>
      </w:r>
      <w:r>
        <w:t xml:space="preserve"> </w:t>
      </w:r>
      <w:r>
        <w:rPr>
          <w:bCs/>
          <w:b/>
        </w:rPr>
        <w:t xml:space="preserve">incremental sales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option structures</w:t>
      </w:r>
      <w:r>
        <w:t xml:space="preserve"> </w:t>
      </w:r>
      <w:r>
        <w:t xml:space="preserve">(puts/calls or combinations)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For</w:t>
      </w:r>
      <w:r>
        <w:t xml:space="preserve"> </w:t>
      </w:r>
      <w:r>
        <w:rPr>
          <w:bCs/>
          <w:b/>
        </w:rPr>
        <w:t xml:space="preserve">old-crop corn</w:t>
      </w:r>
      <w:r>
        <w:t xml:space="preserve"> </w:t>
      </w:r>
      <w:r>
        <w:t xml:space="preserve">needing movement before spring, a separate recommendation emphasized</w:t>
      </w:r>
      <w:r>
        <w:t xml:space="preserve"> </w:t>
      </w:r>
      <w:r>
        <w:rPr>
          <w:bCs/>
          <w:b/>
        </w:rPr>
        <w:t xml:space="preserve">downside protection</w:t>
      </w:r>
      <w:r>
        <w:t xml:space="preserve">, noting corn options were</w:t>
      </w:r>
      <w:r>
        <w:t xml:space="preserve"> </w:t>
      </w:r>
      <w:r>
        <w:t xml:space="preserve">“</w:t>
      </w:r>
      <w:r>
        <w:t xml:space="preserve">so cheap it makes no sense</w:t>
      </w:r>
      <w:r>
        <w:t xml:space="preserve">”</w:t>
      </w:r>
      <w:r>
        <w:t xml:space="preserve"> </w:t>
      </w:r>
      <w:r>
        <w:t xml:space="preserve">to be unprotected if movement is required soon</w:t>
      </w:r>
      <w:r>
        <w:t xml:space="preserve"> </w:t>
      </w:r>
      <w:r>
        <w:rPr>
          <w:rStyle w:val="FootnoteReference"/>
        </w:rPr>
        <w:footnoteReference w:id="101"/>
      </w:r>
      <w:r>
        <w:rPr>
          <w:rStyle w:val="FootnoteReference"/>
        </w:rPr>
        <w:footnoteReference w:id="103"/>
      </w:r>
      <w:r>
        <w:t xml:space="preserve">.</w:t>
      </w:r>
    </w:p>
    <w:bookmarkEnd w:id="104"/>
    <w:bookmarkStart w:id="108" w:name="X23c2c86ad4fa7a3bf8cab39c3f439b6ff8959e4"/>
    <w:p>
      <w:pPr>
        <w:pStyle w:val="Heading3"/>
      </w:pPr>
      <w:r>
        <w:t xml:space="preserve">Fertility placement: when banding can (and can’t) reduce fertilizer rates</w:t>
      </w:r>
    </w:p>
    <w:p>
      <w:pPr>
        <w:pStyle w:val="FirstParagraph"/>
      </w:pPr>
      <w:r>
        <w:t xml:space="preserve">Ag PhD highlighted interest in</w:t>
      </w:r>
      <w:r>
        <w:t xml:space="preserve"> </w:t>
      </w:r>
      <w:r>
        <w:rPr>
          <w:bCs/>
          <w:b/>
        </w:rPr>
        <w:t xml:space="preserve">banding vs. broadcasting</w:t>
      </w:r>
      <w:r>
        <w:t xml:space="preserve"> </w:t>
      </w:r>
      <w:r>
        <w:t xml:space="preserve">to reduce rates under high fertilizer prices, noting improved extraction and reduced tie-up when fertilizer is placed where roots will find it—especially for</w:t>
      </w:r>
      <w:r>
        <w:t xml:space="preserve"> </w:t>
      </w:r>
      <w:r>
        <w:rPr>
          <w:bCs/>
          <w:b/>
        </w:rPr>
        <w:t xml:space="preserve">immobile nutrients</w:t>
      </w:r>
      <w:r>
        <w:t xml:space="preserve"> </w:t>
      </w:r>
      <w:r>
        <w:t xml:space="preserve">like</w:t>
      </w:r>
      <w:r>
        <w:t xml:space="preserve"> </w:t>
      </w:r>
      <w:r>
        <w:rPr>
          <w:bCs/>
          <w:b/>
        </w:rPr>
        <w:t xml:space="preserve">P, K, zinc, and copper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 It cautioned that banding offers less benefit for</w:t>
      </w:r>
      <w:r>
        <w:t xml:space="preserve"> </w:t>
      </w:r>
      <w:r>
        <w:rPr>
          <w:bCs/>
          <w:b/>
        </w:rPr>
        <w:t xml:space="preserve">leachable nutrients</w:t>
      </w:r>
      <w:r>
        <w:t xml:space="preserve"> </w:t>
      </w:r>
      <w:r>
        <w:t xml:space="preserve">(nitrate, sulfate, boron) and warned about</w:t>
      </w:r>
      <w:r>
        <w:t xml:space="preserve"> </w:t>
      </w:r>
      <w:r>
        <w:rPr>
          <w:bCs/>
          <w:b/>
        </w:rPr>
        <w:t xml:space="preserve">salt injury</w:t>
      </w:r>
      <w:r>
        <w:t xml:space="preserve"> </w:t>
      </w:r>
      <w:r>
        <w:t xml:space="preserve">risk near seed (lower rates and more distance are safer)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bookmarkEnd w:id="108"/>
    <w:bookmarkStart w:id="113" w:name="Xcf20da575d594824e0c5e3b09388a7eeb2eec1f"/>
    <w:p>
      <w:pPr>
        <w:pStyle w:val="Heading3"/>
      </w:pPr>
      <w:r>
        <w:t xml:space="preserve">Livestock (Brazil): rainy-season supplementation targets measurable gain</w:t>
      </w:r>
    </w:p>
    <w:p>
      <w:pPr>
        <w:pStyle w:val="FirstParagraph"/>
      </w:pPr>
      <w:r>
        <w:t xml:space="preserve">A Brazil segment described how balancing</w:t>
      </w:r>
      <w:r>
        <w:t xml:space="preserve"> </w:t>
      </w:r>
      <w:r>
        <w:rPr>
          <w:bCs/>
          <w:b/>
        </w:rPr>
        <w:t xml:space="preserve">energy, protein, and minerals</w:t>
      </w:r>
      <w:r>
        <w:t xml:space="preserve"> </w:t>
      </w:r>
      <w:r>
        <w:t xml:space="preserve">during the rainy season can raise daily gains from about</w:t>
      </w:r>
      <w:r>
        <w:t xml:space="preserve"> </w:t>
      </w:r>
      <w:r>
        <w:rPr>
          <w:bCs/>
          <w:b/>
        </w:rPr>
        <w:t xml:space="preserve">450g up to 900g per animal/day</w:t>
      </w:r>
      <w:r>
        <w:t xml:space="preserve">, improving cash flow and shortening production cycles</w:t>
      </w:r>
      <w:r>
        <w:t xml:space="preserve"> </w:t>
      </w:r>
      <w:r>
        <w:rPr>
          <w:rStyle w:val="FootnoteReference"/>
        </w:rPr>
        <w:footnoteReference w:id="109"/>
      </w:r>
      <w:r>
        <w:rPr>
          <w:rStyle w:val="FootnoteReference"/>
        </w:rPr>
        <w:footnoteReference w:id="111"/>
      </w:r>
      <w:r>
        <w:t xml:space="preserve">. A worked example described a</w:t>
      </w:r>
      <w:r>
        <w:t xml:space="preserve"> </w:t>
      </w:r>
      <w:r>
        <w:rPr>
          <w:bCs/>
          <w:b/>
        </w:rPr>
        <w:t xml:space="preserve">9‑arroba</w:t>
      </w:r>
      <w:r>
        <w:t xml:space="preserve"> </w:t>
      </w:r>
      <w:r>
        <w:t xml:space="preserve">heifer reaching</w:t>
      </w:r>
      <w:r>
        <w:t xml:space="preserve"> </w:t>
      </w:r>
      <w:r>
        <w:rPr>
          <w:bCs/>
          <w:b/>
        </w:rPr>
        <w:t xml:space="preserve">12 arrobas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90 days</w:t>
      </w:r>
      <w:r>
        <w:t xml:space="preserve"> </w:t>
      </w:r>
      <w:r>
        <w:t xml:space="preserve">with energy supplementation (vs. about</w:t>
      </w:r>
      <w:r>
        <w:t xml:space="preserve"> </w:t>
      </w:r>
      <w:r>
        <w:rPr>
          <w:bCs/>
          <w:b/>
        </w:rPr>
        <w:t xml:space="preserve">6 months</w:t>
      </w:r>
      <w:r>
        <w:t xml:space="preserve"> </w:t>
      </w:r>
      <w:r>
        <w:t xml:space="preserve">otherwise)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bookmarkEnd w:id="113"/>
    <w:bookmarkEnd w:id="114"/>
    <w:bookmarkStart w:id="123" w:name="input-markets"/>
    <w:p>
      <w:pPr>
        <w:pStyle w:val="Heading2"/>
      </w:pPr>
      <w:r>
        <w:t xml:space="preserve">Input Markets</w:t>
      </w:r>
    </w:p>
    <w:bookmarkStart w:id="118" w:name="X2dc6e91786ee2d33a86f7e1f66a93ed290b892f"/>
    <w:p>
      <w:pPr>
        <w:pStyle w:val="Heading3"/>
      </w:pPr>
      <w:r>
        <w:t xml:space="preserve">Fertilizer remains a focal variable for 2026 row-crop decisions</w:t>
      </w:r>
    </w:p>
    <w:p>
      <w:pPr>
        <w:pStyle w:val="FirstParagraph"/>
      </w:pPr>
      <w:r>
        <w:t xml:space="preserve">One market discussion repeatedly emphasized</w:t>
      </w:r>
      <w:r>
        <w:t xml:space="preserve"> </w:t>
      </w:r>
      <w:r>
        <w:rPr>
          <w:bCs/>
          <w:b/>
        </w:rPr>
        <w:t xml:space="preserve">fertilizer cash prices</w:t>
      </w:r>
      <w:r>
        <w:t xml:space="preserve"> </w:t>
      </w:r>
      <w:r>
        <w:t xml:space="preserve">as a key variable in corn/soy acreage decisions, with observations of fertilizer movement</w:t>
      </w:r>
      <w:r>
        <w:t xml:space="preserve"> </w:t>
      </w:r>
      <w:r>
        <w:t xml:space="preserve">“</w:t>
      </w:r>
      <w:r>
        <w:t xml:space="preserve">on fire</w:t>
      </w:r>
      <w:r>
        <w:t xml:space="preserve">”</w:t>
      </w:r>
      <w:r>
        <w:t xml:space="preserve"> </w:t>
      </w:r>
      <w:r>
        <w:t xml:space="preserve">and farmers filling sheds later than usual (suggesting deferred fall buying)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p>
      <w:pPr>
        <w:pStyle w:val="BodyText"/>
      </w:pPr>
      <w:r>
        <w:t xml:space="preserve">Agro policy also moved into the input narrative: President Donald Trump designated</w:t>
      </w:r>
      <w:r>
        <w:t xml:space="preserve"> </w:t>
      </w:r>
      <w:r>
        <w:rPr>
          <w:bCs/>
          <w:b/>
        </w:rPr>
        <w:t xml:space="preserve">glyphosate-based herbicides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elemental phosphorus</w:t>
      </w:r>
      <w:r>
        <w:t xml:space="preserve"> </w:t>
      </w:r>
      <w:r>
        <w:t xml:space="preserve">as</w:t>
      </w:r>
      <w:r>
        <w:t xml:space="preserve"> </w:t>
      </w:r>
      <w:r>
        <w:rPr>
          <w:bCs/>
          <w:b/>
        </w:rPr>
        <w:t xml:space="preserve">critical to national defense</w:t>
      </w:r>
      <w:r>
        <w:t xml:space="preserve">, directing USDA to prioritize and secure domestic supplies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bookmarkEnd w:id="118"/>
    <w:bookmarkStart w:id="122" w:name="X4c1611712062a4fd5b574d7db08a8cf52e850f5"/>
    <w:p>
      <w:pPr>
        <w:pStyle w:val="Heading3"/>
      </w:pPr>
      <w:r>
        <w:t xml:space="preserve">Policy, demand, and crush: soybean oil for biofuel remains central</w:t>
      </w:r>
    </w:p>
    <w:p>
      <w:pPr>
        <w:pStyle w:val="FirstParagraph"/>
      </w:pPr>
      <w:r>
        <w:t xml:space="preserve">USDA’s outlook discussion included a projected</w:t>
      </w:r>
      <w:r>
        <w:t xml:space="preserve"> </w:t>
      </w:r>
      <w:r>
        <w:rPr>
          <w:bCs/>
          <w:b/>
        </w:rPr>
        <w:t xml:space="preserve">record 17.3B lbs</w:t>
      </w:r>
      <w:r>
        <w:t xml:space="preserve"> </w:t>
      </w:r>
      <w:r>
        <w:t xml:space="preserve">of soybean oil use for biofuel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 Separately, USDA-ag-economy commentary framed the</w:t>
      </w:r>
      <w:r>
        <w:t xml:space="preserve"> </w:t>
      </w:r>
      <w:r>
        <w:rPr>
          <w:bCs/>
          <w:b/>
        </w:rPr>
        <w:t xml:space="preserve">RFS/E15 debate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45Z rule</w:t>
      </w:r>
      <w:r>
        <w:t xml:space="preserve"> </w:t>
      </w:r>
      <w:r>
        <w:t xml:space="preserve">(including flexible feedstock provisions) as</w:t>
      </w:r>
      <w:r>
        <w:t xml:space="preserve"> </w:t>
      </w:r>
      <w:r>
        <w:t xml:space="preserve">“</w:t>
      </w:r>
      <w:r>
        <w:t xml:space="preserve">wildcards</w:t>
      </w:r>
      <w:r>
        <w:t xml:space="preserve">”</w:t>
      </w:r>
      <w:r>
        <w:t xml:space="preserve"> </w:t>
      </w:r>
      <w:r>
        <w:t xml:space="preserve">that could affect corn/soy demand—and potentially the acreage and price outlook—depending on timing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bookmarkEnd w:id="122"/>
    <w:bookmarkEnd w:id="123"/>
    <w:bookmarkStart w:id="136" w:name="forward-outlook"/>
    <w:p>
      <w:pPr>
        <w:pStyle w:val="Heading2"/>
      </w:pPr>
      <w:r>
        <w:t xml:space="preserve">Forward Outlook</w:t>
      </w:r>
    </w:p>
    <w:bookmarkStart w:id="132" w:name="X37985366aec50a2f8771cafdd56274019ef2eb2"/>
    <w:p>
      <w:pPr>
        <w:pStyle w:val="Heading3"/>
      </w:pPr>
      <w:r>
        <w:t xml:space="preserve">Watch-list: policy timing + trade headlines as near-term volatility sources</w:t>
      </w:r>
    </w:p>
    <w:p>
      <w:pPr>
        <w:numPr>
          <w:ilvl w:val="0"/>
          <w:numId w:val="1004"/>
        </w:numPr>
        <w:pStyle w:val="Compact"/>
      </w:pPr>
      <w:r>
        <w:t xml:space="preserve">USDA’s biofuel-policy framing explicitly highlighted the importance of the RFS/E15 pathway and the 45Z rule’s incentive structure as potential demand drivers for corn/soy/canola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pStyle w:val="FirstParagraph"/>
      </w:pPr>
      <w:hyperlink r:id="rId128">
        <w:r>
          <w:drawing>
            <wp:inline>
              <wp:extent cx="5334000" cy="4000500"/>
              <wp:effectExtent b="0" l="0" r="0" t="0"/>
              <wp:docPr descr="USDA Ag Outlook: Farm Economy “Making Progress” in 2026, But Headwinds Persist" title="" id="126" name="Picture"/>
              <a:graphic>
                <a:graphicData uri="http://schemas.openxmlformats.org/drawingml/2006/picture">
                  <pic:pic>
                    <pic:nvPicPr>
                      <pic:cNvPr descr="https://img.youtube.com/vi/xCl2McUkBsg/hqdefault.jpg" id="1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USDA Ag Outlook: Farm Economy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Making Progress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in 2026, But Headwinds Persist (8:05)</w:t>
      </w:r>
    </w:p>
    <w:p>
      <w:pPr>
        <w:numPr>
          <w:ilvl w:val="0"/>
          <w:numId w:val="1005"/>
        </w:numPr>
        <w:pStyle w:val="Compact"/>
      </w:pPr>
      <w:r>
        <w:t xml:space="preserve">Another market view tied recent soybean strength to improving U.S.–China relations and suggested markets may react to headlines in the lead-up to an April meeting; the same discussion recommended being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3/4 cash sold</w:t>
      </w:r>
      <w:r>
        <w:rPr>
          <w:bCs/>
          <w:b/>
        </w:rPr>
        <w:t xml:space="preserve">”</w:t>
      </w:r>
      <w:r>
        <w:t xml:space="preserve"> </w:t>
      </w:r>
      <w:r>
        <w:t xml:space="preserve">on old-crop corn/soy/wheat ahead of that meeting window due to uncertainty</w:t>
      </w:r>
      <w:r>
        <w:t xml:space="preserve"> </w:t>
      </w:r>
      <w:r>
        <w:rPr>
          <w:rStyle w:val="FootnoteReference"/>
        </w:rPr>
        <w:footnoteReference w:id="129"/>
      </w:r>
      <w:r>
        <w:rPr>
          <w:rStyle w:val="FootnoteReference"/>
        </w:rPr>
        <w:footnoteReference w:id="131"/>
      </w:r>
      <w:r>
        <w:t xml:space="preserve">.</w:t>
      </w:r>
    </w:p>
    <w:bookmarkEnd w:id="132"/>
    <w:bookmarkStart w:id="134" w:name="Xe99db574b097000be8389f43f1813f5ab4209e5"/>
    <w:p>
      <w:pPr>
        <w:pStyle w:val="Heading3"/>
      </w:pPr>
      <w:r>
        <w:t xml:space="preserve">Weather risk lens: KC winter wheat belt flagged for dry-spring and frost concerns</w:t>
      </w:r>
    </w:p>
    <w:p>
      <w:pPr>
        <w:pStyle w:val="FirstParagraph"/>
      </w:pPr>
      <w:r>
        <w:t xml:space="preserve">A weather-focused segment described a lag where sea-surface temperatures shifted toward neutral but the atmosphere remained</w:t>
      </w:r>
      <w:r>
        <w:t xml:space="preserve"> </w:t>
      </w:r>
      <w:r>
        <w:t xml:space="preserve">“</w:t>
      </w:r>
      <w:r>
        <w:t xml:space="preserve">La Niña-like,</w:t>
      </w:r>
      <w:r>
        <w:t xml:space="preserve">”</w:t>
      </w:r>
      <w:r>
        <w:t xml:space="preserve"> </w:t>
      </w:r>
      <w:r>
        <w:t xml:space="preserve">a pattern it said</w:t>
      </w:r>
      <w:r>
        <w:t xml:space="preserve"> </w:t>
      </w:r>
      <w:r>
        <w:t xml:space="preserve">“</w:t>
      </w:r>
      <w:r>
        <w:t xml:space="preserve">always means a dry spring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rPr>
          <w:bCs/>
          <w:b/>
        </w:rPr>
        <w:t xml:space="preserve">KC winter wheat belt</w:t>
      </w:r>
      <w:r>
        <w:t xml:space="preserve"> </w:t>
      </w:r>
      <w:r>
        <w:t xml:space="preserve">(KS/OK/NE), adding</w:t>
      </w:r>
      <w:r>
        <w:t xml:space="preserve"> </w:t>
      </w:r>
      <w:r>
        <w:rPr>
          <w:bCs/>
          <w:b/>
        </w:rPr>
        <w:t xml:space="preserve">frost risk</w:t>
      </w:r>
      <w:r>
        <w:t xml:space="preserve"> </w:t>
      </w:r>
      <w:r>
        <w:t xml:space="preserve">as wheat comes out of dormancy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4"/>
    <w:bookmarkStart w:id="1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Markets Now Closes - 2/19 Beans, Wheat Hit Fresh Highs on Technical Buying: Why Can’t Corn Follow?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Markets Now Early - 2/19 Wheat Breaks Higher: Corn &amp; Soybeans Fade USDA Ag Outlook Numbers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KC WHEAT HEDGE ALERT &amp; SELL SIGNAL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Como as tecnologias estão influenciando as decisões do produtor para 2026?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Tecnologia, inovação e agro: o papel estratégico da ABDI no Brasil | Direto ao Ponto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#103 - STANDARD, KUMAMOTO, LDC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Chuvas sem trégua travam colheita e ameaçam safra de soja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AO VIVO: Brasil negocia mercado para o feijão e tarifas do frango na Índia | M&amp;C – 18/02/2026</w:t>
        </w:r>
      </w:hyperlink>
    </w:p>
    <w:p>
      <w:pPr>
        <w:numPr>
          <w:ilvl w:val="0"/>
          <w:numId w:val="1006"/>
        </w:numPr>
        <w:pStyle w:val="Compact"/>
      </w:pPr>
      <w:hyperlink r:id="rId83">
        <w:r>
          <w:rPr>
            <w:rStyle w:val="Hyperlink"/>
          </w:rPr>
          <w:t xml:space="preserve">Excesso de chuva atrasa plantio do milho safrinha; meteorologista atualiza situação</w:t>
        </w:r>
      </w:hyperlink>
    </w:p>
    <w:p>
      <w:pPr>
        <w:numPr>
          <w:ilvl w:val="0"/>
          <w:numId w:val="1006"/>
        </w:numPr>
        <w:pStyle w:val="Compact"/>
      </w:pPr>
      <w:hyperlink r:id="rId86">
        <w:r>
          <w:rPr>
            <w:rStyle w:val="Hyperlink"/>
          </w:rPr>
          <w:t xml:space="preserve">Alerta! Temporais e ventos de 100 km/h estão previstos em 5 estados do Brasil</w:t>
        </w:r>
      </w:hyperlink>
    </w:p>
    <w:p>
      <w:pPr>
        <w:numPr>
          <w:ilvl w:val="0"/>
          <w:numId w:val="1006"/>
        </w:numPr>
        <w:pStyle w:val="Compact"/>
      </w:pPr>
      <w:hyperlink r:id="rId89">
        <w:r>
          <w:rPr>
            <w:rStyle w:val="Hyperlink"/>
          </w:rPr>
          <w:t xml:space="preserve">Buracos e atoleiros na BR-174 custam até R$ 10 por saca em Juína | Patrulheiro Agro ep. 229</w:t>
        </w:r>
      </w:hyperlink>
    </w:p>
    <w:p>
      <w:pPr>
        <w:numPr>
          <w:ilvl w:val="0"/>
          <w:numId w:val="1006"/>
        </w:numPr>
        <w:pStyle w:val="Compact"/>
      </w:pPr>
      <w:hyperlink r:id="rId102">
        <w:r>
          <w:rPr>
            <w:rStyle w:val="Hyperlink"/>
          </w:rPr>
          <w:t xml:space="preserve">USDA OUTLOOK MATTER?</w:t>
        </w:r>
      </w:hyperlink>
    </w:p>
    <w:p>
      <w:pPr>
        <w:numPr>
          <w:ilvl w:val="0"/>
          <w:numId w:val="1006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06"/>
        </w:numPr>
        <w:pStyle w:val="Compact"/>
      </w:pPr>
      <w:hyperlink r:id="rId110">
        <w:r>
          <w:rPr>
            <w:rStyle w:val="Hyperlink"/>
          </w:rPr>
          <w:t xml:space="preserve">Suplementação em períodos chuvosos pode aumentar a produtividade na pecuária</w:t>
        </w:r>
      </w:hyperlink>
    </w:p>
    <w:p>
      <w:pPr>
        <w:numPr>
          <w:ilvl w:val="0"/>
          <w:numId w:val="1006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120">
        <w:r>
          <w:rPr>
            <w:rStyle w:val="Hyperlink"/>
          </w:rPr>
          <w:t xml:space="preserve">USDA Ag Outlook: Farm Economy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Making Progress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 2026, But Headwinds Persist</w:t>
        </w:r>
      </w:hyperlink>
    </w:p>
    <w:p>
      <w:pPr>
        <w:numPr>
          <w:ilvl w:val="0"/>
          <w:numId w:val="1006"/>
        </w:numPr>
        <w:pStyle w:val="Compact"/>
      </w:pPr>
      <w:hyperlink r:id="rId130">
        <w:r>
          <w:rPr>
            <w:rStyle w:val="Hyperlink"/>
          </w:rPr>
          <w:t xml:space="preserve">Moving Iron: Quadtrac Whiplash — From Record Highs to Market Reset and the Road Back</w:t>
        </w:r>
      </w:hyperlink>
    </w:p>
    <w:bookmarkEnd w:id="135"/>
    <w:bookmarkEnd w:id="136"/>
    <w:bookmarkEnd w:id="1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Markets Now Closes - 2/19 Beans, Wheat Hit Fresh Highs on Technical Buying: Why Can’t Corn Follow?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Markets Now Closes - 2/19 Beans, Wheat Hit Fresh Highs on Technical Buying: Why Can’t Corn Follow?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Markets Now Closes - 2/19 Beans, Wheat Hit Fresh Highs on Technical Buying: Why Can’t Corn Follow?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Markets Now Early - 2/19 Wheat Breaks Higher: Corn &amp; Soybeans Fade USDA Ag Outlook Numbers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KC WHEAT HEDGE ALERT &amp; SELL SIGNAL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KC WHEAT HEDGE ALERT &amp; SELL SIGNAL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Como as tecnologias estão influenciando as decisões do produtor para 2026?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Como as tecnologias estão influenciando as decisões do produtor para 2026?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Tecnologia, inovação e agro: o papel estratégico da ABDI no Brasil | Direto ao Ponto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Tecnologia, inovação e agro: o papel estratégico da ABDI no Brasil | Direto ao Ponto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Tecnologia, inovação e agro: o papel estratégico da ABDI no Brasil | Direto ao Ponto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#103 - STANDARD, KUMAMOTO, LDC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Chuvas sem trégua travam colheita e ameaçam safra de soja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Chuvas sem trégua travam colheita e ameaçam safra de soja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AO VIVO: Brasil negocia mercado para o feijão e tarifas do frango na Índia | M&amp;C – 18/02/2026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AO VIVO: Brasil negocia mercado para o feijão e tarifas do frango na Índia | M&amp;C – 18/02/2026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Excesso de chuva atrasa plantio do milho safrinha; meteorologista atualiza situação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Excesso de chuva atrasa plantio do milho safrinha; meteorologista atualiza situação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Alerta! Temporais e ventos de 100 km/h estão previstos em 5 estados do Brasil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Buracos e atoleiros na BR-174 custam até R$ 10 por saca em Juína | Patrulheiro Agro ep. 229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Buracos e atoleiros na BR-174 custam até R$ 10 por saca em Juína | Patrulheiro Agro ep. 229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Buracos e atoleiros na BR-174 custam até R$ 10 por saca em Juína | Patrulheiro Agro ep. 229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Buracos e atoleiros na BR-174 custam até R$ 10 por saca em Juína | Patrulheiro Agro ep. 229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Buracos e atoleiros na BR-174 custam até R$ 10 por saca em Juína | Patrulheiro Agro ep. 229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Future is at Risk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Corn Growers Plead for Improved Policy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KC WHEAT HEDGE ALERT &amp; SELL SIGNAL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USDA OUTLOOK MATTER?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USDA OUTLOOK MATTER?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Suplementação em períodos chuvosos pode aumentar a produtividade na pecuária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Suplementação em períodos chuvosos pode aumentar a produtividade na pecuária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Suplementação em períodos chuvosos pode aumentar a produtividade na pecuária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Markets Now Early - 2/19 Wheat Breaks Higher: Corn &amp; Soybeans Fade USDA Ag Outlook Numbers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Ag Outlook: Farm Economy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Making Progress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 2026, But Headwinds Persist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Ag Outlook: Farm Economy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Making Progress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 2026, But Headwinds Persist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Ag Outlook: Farm Economy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Making Progress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 2026, But Headwinds Persist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Moving Iron: Quadtrac Whiplash — From Record Highs to Market Reset and the Road Back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Moving Iron: Quadtrac Whiplash — From Record Highs to Market Reset and the Road Back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Moving Iron: Quadtrac Whiplash — From Record Highs to Market Reset and the Road Back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2" Target="media/rId62.jpg" /><Relationship Type="http://schemas.openxmlformats.org/officeDocument/2006/relationships/image" Id="rId125" Target="media/rId125.jpg" /><Relationship Type="http://schemas.openxmlformats.org/officeDocument/2006/relationships/hyperlink" Id="rId55" Target="https://jeremeyfrost.substack.com/p/kc-wheat-hedge-alert-and-sell-signal" TargetMode="External" /><Relationship Type="http://schemas.openxmlformats.org/officeDocument/2006/relationships/hyperlink" Id="rId102" Target="https://jeremeyfrost.substack.com/p/usda-outlook-matter" TargetMode="External" /><Relationship Type="http://schemas.openxmlformats.org/officeDocument/2006/relationships/hyperlink" Id="rId73" Target="https://thisweekinag.substack.com/p/copy-103-standard-kumamoto-ldc" TargetMode="External" /><Relationship Type="http://schemas.openxmlformats.org/officeDocument/2006/relationships/hyperlink" Id="rId110" Target="https://www.youtube.com/watch?v=0RIKYDX4r5U" TargetMode="External" /><Relationship Type="http://schemas.openxmlformats.org/officeDocument/2006/relationships/hyperlink" Id="rId130" Target="https://www.youtube.com/watch?v=B1AmVbcmTfo" TargetMode="External" /><Relationship Type="http://schemas.openxmlformats.org/officeDocument/2006/relationships/hyperlink" Id="rId60" Target="https://www.youtube.com/watch?v=CGOTzweTUrI" TargetMode="External" /><Relationship Type="http://schemas.openxmlformats.org/officeDocument/2006/relationships/hyperlink" Id="rId83" Target="https://www.youtube.com/watch?v=R9PrOUjNICc" TargetMode="External" /><Relationship Type="http://schemas.openxmlformats.org/officeDocument/2006/relationships/hyperlink" Id="rId89" Target="https://www.youtube.com/watch?v=U69jOcn1rfE" TargetMode="External" /><Relationship Type="http://schemas.openxmlformats.org/officeDocument/2006/relationships/hyperlink" Id="rId77" Target="https://www.youtube.com/watch?v=VWzwvC8ZRps" TargetMode="External" /><Relationship Type="http://schemas.openxmlformats.org/officeDocument/2006/relationships/hyperlink" Id="rId35" Target="https://www.youtube.com/watch?v=_nfoc2vwUWY" TargetMode="External" /><Relationship Type="http://schemas.openxmlformats.org/officeDocument/2006/relationships/hyperlink" Id="rId41" Target="https://www.youtube.com/watch?v=ewCqQ7jiioo" TargetMode="External" /><Relationship Type="http://schemas.openxmlformats.org/officeDocument/2006/relationships/hyperlink" Id="rId86" Target="https://www.youtube.com/watch?v=kSgxmfFlcYE" TargetMode="External" /><Relationship Type="http://schemas.openxmlformats.org/officeDocument/2006/relationships/hyperlink" Id="rId68" Target="https://www.youtube.com/watch?v=pZFX0jWOV6U" TargetMode="External" /><Relationship Type="http://schemas.openxmlformats.org/officeDocument/2006/relationships/hyperlink" Id="rId45" Target="https://www.youtube.com/watch?v=sDaOS81ZPko" TargetMode="External" /><Relationship Type="http://schemas.openxmlformats.org/officeDocument/2006/relationships/hyperlink" Id="rId80" Target="https://www.youtube.com/watch?v=tgAMMpB2wB4" TargetMode="External" /><Relationship Type="http://schemas.openxmlformats.org/officeDocument/2006/relationships/hyperlink" Id="rId120" Target="https://www.youtube.com/watch?v=xCl2McUkBsg" TargetMode="External" /><Relationship Type="http://schemas.openxmlformats.org/officeDocument/2006/relationships/hyperlink" Id="rId106" Target="https://x.com/AgPhDMedia/status/2024484729286705437" TargetMode="External" /><Relationship Type="http://schemas.openxmlformats.org/officeDocument/2006/relationships/hyperlink" Id="rId32" Target="https://x.com/GoddessofGrain/status/2024456587692175843" TargetMode="External" /><Relationship Type="http://schemas.openxmlformats.org/officeDocument/2006/relationships/hyperlink" Id="rId21" Target="https://x.com/MarketMinuteLLC/status/2024456919868453209" TargetMode="External" /><Relationship Type="http://schemas.openxmlformats.org/officeDocument/2006/relationships/hyperlink" Id="rId23" Target="https://x.com/MarketMinuteLLC/status/2024468239976128531" TargetMode="External" /><Relationship Type="http://schemas.openxmlformats.org/officeDocument/2006/relationships/hyperlink" Id="rId28" Target="https://x.com/MarketMinuteLLC/status/2024470707715874879" TargetMode="External" /><Relationship Type="http://schemas.openxmlformats.org/officeDocument/2006/relationships/hyperlink" Id="rId48" Target="https://x.com/MarketMinuteLLC/status/2024609261901557996" TargetMode="External" /><Relationship Type="http://schemas.openxmlformats.org/officeDocument/2006/relationships/hyperlink" Id="rId51" Target="https://x.com/MarketMinuteLLC/status/2024612955413762339" TargetMode="External" /><Relationship Type="http://schemas.openxmlformats.org/officeDocument/2006/relationships/hyperlink" Id="rId117" Target="https://x.com/SuccessfulFarm/status/2024574799830196495" TargetMode="External" /><Relationship Type="http://schemas.openxmlformats.org/officeDocument/2006/relationships/hyperlink" Id="rId65" Target="https://youtube.com/watch?v=CGOTzweTUrI&amp;t=121" TargetMode="External" /><Relationship Type="http://schemas.openxmlformats.org/officeDocument/2006/relationships/hyperlink" Id="rId128" Target="https://youtube.com/watch?v=xCl2McUkBsg&amp;t=48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5" Target="https://jeremeyfrost.substack.com/p/kc-wheat-hedge-alert-and-sell-signal" TargetMode="External" /><Relationship Type="http://schemas.openxmlformats.org/officeDocument/2006/relationships/hyperlink" Id="rId102" Target="https://jeremeyfrost.substack.com/p/usda-outlook-matter" TargetMode="External" /><Relationship Type="http://schemas.openxmlformats.org/officeDocument/2006/relationships/hyperlink" Id="rId73" Target="https://thisweekinag.substack.com/p/copy-103-standard-kumamoto-ldc" TargetMode="External" /><Relationship Type="http://schemas.openxmlformats.org/officeDocument/2006/relationships/hyperlink" Id="rId110" Target="https://www.youtube.com/watch?v=0RIKYDX4r5U" TargetMode="External" /><Relationship Type="http://schemas.openxmlformats.org/officeDocument/2006/relationships/hyperlink" Id="rId130" Target="https://www.youtube.com/watch?v=B1AmVbcmTfo" TargetMode="External" /><Relationship Type="http://schemas.openxmlformats.org/officeDocument/2006/relationships/hyperlink" Id="rId60" Target="https://www.youtube.com/watch?v=CGOTzweTUrI" TargetMode="External" /><Relationship Type="http://schemas.openxmlformats.org/officeDocument/2006/relationships/hyperlink" Id="rId83" Target="https://www.youtube.com/watch?v=R9PrOUjNICc" TargetMode="External" /><Relationship Type="http://schemas.openxmlformats.org/officeDocument/2006/relationships/hyperlink" Id="rId89" Target="https://www.youtube.com/watch?v=U69jOcn1rfE" TargetMode="External" /><Relationship Type="http://schemas.openxmlformats.org/officeDocument/2006/relationships/hyperlink" Id="rId77" Target="https://www.youtube.com/watch?v=VWzwvC8ZRps" TargetMode="External" /><Relationship Type="http://schemas.openxmlformats.org/officeDocument/2006/relationships/hyperlink" Id="rId35" Target="https://www.youtube.com/watch?v=_nfoc2vwUWY" TargetMode="External" /><Relationship Type="http://schemas.openxmlformats.org/officeDocument/2006/relationships/hyperlink" Id="rId41" Target="https://www.youtube.com/watch?v=ewCqQ7jiioo" TargetMode="External" /><Relationship Type="http://schemas.openxmlformats.org/officeDocument/2006/relationships/hyperlink" Id="rId86" Target="https://www.youtube.com/watch?v=kSgxmfFlcYE" TargetMode="External" /><Relationship Type="http://schemas.openxmlformats.org/officeDocument/2006/relationships/hyperlink" Id="rId68" Target="https://www.youtube.com/watch?v=pZFX0jWOV6U" TargetMode="External" /><Relationship Type="http://schemas.openxmlformats.org/officeDocument/2006/relationships/hyperlink" Id="rId45" Target="https://www.youtube.com/watch?v=sDaOS81ZPko" TargetMode="External" /><Relationship Type="http://schemas.openxmlformats.org/officeDocument/2006/relationships/hyperlink" Id="rId80" Target="https://www.youtube.com/watch?v=tgAMMpB2wB4" TargetMode="External" /><Relationship Type="http://schemas.openxmlformats.org/officeDocument/2006/relationships/hyperlink" Id="rId120" Target="https://www.youtube.com/watch?v=xCl2McUkBsg" TargetMode="External" /><Relationship Type="http://schemas.openxmlformats.org/officeDocument/2006/relationships/hyperlink" Id="rId106" Target="https://x.com/AgPhDMedia/status/2024484729286705437" TargetMode="External" /><Relationship Type="http://schemas.openxmlformats.org/officeDocument/2006/relationships/hyperlink" Id="rId32" Target="https://x.com/GoddessofGrain/status/2024456587692175843" TargetMode="External" /><Relationship Type="http://schemas.openxmlformats.org/officeDocument/2006/relationships/hyperlink" Id="rId21" Target="https://x.com/MarketMinuteLLC/status/2024456919868453209" TargetMode="External" /><Relationship Type="http://schemas.openxmlformats.org/officeDocument/2006/relationships/hyperlink" Id="rId23" Target="https://x.com/MarketMinuteLLC/status/2024468239976128531" TargetMode="External" /><Relationship Type="http://schemas.openxmlformats.org/officeDocument/2006/relationships/hyperlink" Id="rId28" Target="https://x.com/MarketMinuteLLC/status/2024470707715874879" TargetMode="External" /><Relationship Type="http://schemas.openxmlformats.org/officeDocument/2006/relationships/hyperlink" Id="rId48" Target="https://x.com/MarketMinuteLLC/status/2024609261901557996" TargetMode="External" /><Relationship Type="http://schemas.openxmlformats.org/officeDocument/2006/relationships/hyperlink" Id="rId51" Target="https://x.com/MarketMinuteLLC/status/2024612955413762339" TargetMode="External" /><Relationship Type="http://schemas.openxmlformats.org/officeDocument/2006/relationships/hyperlink" Id="rId117" Target="https://x.com/SuccessfulFarm/status/2024574799830196495" TargetMode="External" /><Relationship Type="http://schemas.openxmlformats.org/officeDocument/2006/relationships/hyperlink" Id="rId65" Target="https://youtube.com/watch?v=CGOTzweTUrI&amp;t=121" TargetMode="External" /><Relationship Type="http://schemas.openxmlformats.org/officeDocument/2006/relationships/hyperlink" Id="rId128" Target="https://youtube.com/watch?v=xCl2McUkBsg&amp;t=48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shifts 2026/27 acres toward soybeans as KC wheat breaks out and Brazil harvest weather adds risk</dc:title>
  <dc:creator>Global Agricultural Developments</dc:creator>
  <cp:keywords/>
  <dcterms:created xsi:type="dcterms:W3CDTF">2026-02-20T22:18:36Z</dcterms:created>
  <dcterms:modified xsi:type="dcterms:W3CDTF">2026-02-20T22:18:36Z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2026-02-20</vt:lpwstr>
  </property>
</Properties>
</file>