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Use a Second Model to Steer Your Coding Agent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2026-07-12</w:t>
      </w:r>
    </w:p>
    <w:bookmarkStart w:id="33" w:name="Xcc824e406a0d3de1c2916cc7d973fa4187ab1ee"/>
    <w:p>
      <w:pPr>
        <w:pStyle w:val="Heading1"/>
      </w:pPr>
      <w:r>
        <w:t xml:space="preserve">Use a Second Model to Steer Your Coding Agent</w:t>
      </w:r>
    </w:p>
    <w:p>
      <w:pPr>
        <w:pStyle w:val="FirstParagraph"/>
      </w:pPr>
      <w:r>
        <w:rPr>
          <w:iCs/>
          <w:i/>
        </w:rPr>
        <w:t xml:space="preserve">By Coding Agents Alpha Tracker • July 12, 2026</w:t>
      </w:r>
    </w:p>
    <w:p>
      <w:pPr>
        <w:pStyle w:val="BodyText"/>
      </w:pPr>
      <w:r>
        <w:t xml:space="preserve">Today’s strongest field signal is a practical multi-model pattern: let one coding agent execute while another provides fresh-context steering at blockers. Also included: a Claude Code-to-GPT routing setup, a second-instance planning loop, and a clear boundary between agent-assisted exploration and hard design work.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rPr>
          <w:bCs/>
          <w:b/>
        </w:rPr>
        <w:t xml:space="preserve">Use a second model as a steering layer—not just a fallback.</w:t>
      </w:r>
      <w:r>
        <w:t xml:space="preserve"> </w:t>
      </w:r>
      <w:r>
        <w:t xml:space="preserve">Salvatore Sanfilippo’s production workflow for Dwarfstar CUDA kernels keeps GPT-5.6 as the executor but tells it to consult Claude through the terminal whenever it is blocked; he reports this unlocked optimizations neither model reached alone. The useful mechanism is fresh context: the adviser repeatedly examines the problem without inheriting the primary agent’s tunnel. [1]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Give Claude Code a GPT-5.6-Sol route via CLIProxyAPI</w:t>
      </w:r>
      <w:r>
        <w:t xml:space="preserve"> </w:t>
      </w:r>
      <w:r>
        <w:rPr>
          <w:iCs/>
          <w:i/>
        </w:rPr>
        <w:t xml:space="preserve">(Tibo, with a setup summary from Theo).</w:t>
      </w:r>
      <w:r>
        <w:t xml:space="preserve"> </w:t>
      </w:r>
      <w:r>
        <w:t xml:space="preserve">Install CLIProxyAPI, configure Claude and Codex authentication, connect Claude Code, then create a</w:t>
      </w:r>
      <w:r>
        <w:t xml:space="preserve"> </w:t>
      </w:r>
      <w:r>
        <w:rPr>
          <w:rStyle w:val="VerbatimChar"/>
        </w:rPr>
        <w:t xml:space="preserve">claudex</w:t>
      </w:r>
      <w:r>
        <w:t xml:space="preserve"> </w:t>
      </w:r>
      <w:r>
        <w:t xml:space="preserve">alias. Tibo’s configuration sets the subagent model, enables effort, caps tool concurrency at three, and disables tool search: [2, 3]</w:t>
      </w:r>
    </w:p>
    <w:p>
      <w:pPr>
        <w:numPr>
          <w:ilvl w:val="0"/>
          <w:numId w:val="1000"/>
        </w:numPr>
        <w:pStyle w:val="SourceCode"/>
      </w:pPr>
      <w:r>
        <w:rPr>
          <w:rStyle w:val="BuiltInTok"/>
        </w:rPr>
        <w:t xml:space="preserve">alias</w:t>
      </w:r>
      <w:r>
        <w:rPr>
          <w:rStyle w:val="NormalTok"/>
        </w:rPr>
        <w:t xml:space="preserve"> claudex=</w:t>
      </w:r>
      <w:r>
        <w:rPr>
          <w:rStyle w:val="StringTok"/>
        </w:rPr>
        <w:t xml:space="preserve">'CLAUDE_CODE_SUBAGENT_MODEL=gpt-5.6-sol</w:t>
      </w:r>
      <w:r>
        <w:br/>
      </w:r>
      <w:r>
        <w:rPr>
          <w:rStyle w:val="StringTok"/>
        </w:rPr>
        <w:t xml:space="preserve">CLAUDE_CODE_ALWAYS_ENABLE_EFFORT=1</w:t>
      </w:r>
      <w:r>
        <w:br/>
      </w:r>
      <w:r>
        <w:rPr>
          <w:rStyle w:val="StringTok"/>
        </w:rPr>
        <w:t xml:space="preserve">CLAUDE_CODE_MAX_TOOL_USE_CONCURRENCY=3</w:t>
      </w:r>
      <w:r>
        <w:br/>
      </w:r>
      <w:r>
        <w:rPr>
          <w:rStyle w:val="StringTok"/>
        </w:rPr>
        <w:t xml:space="preserve">ENABLE_TOOL_SEARCH=false</w:t>
      </w:r>
      <w:r>
        <w:br/>
      </w:r>
      <w:r>
        <w:rPr>
          <w:rStyle w:val="StringTok"/>
        </w:rPr>
        <w:t xml:space="preserve">claude –model gpt-5.6-sol'</w:t>
      </w:r>
    </w:p>
    <w:p>
      <w:pPr>
        <w:numPr>
          <w:ilvl w:val="0"/>
          <w:numId w:val="1000"/>
        </w:numPr>
      </w:pPr>
      <w:r>
        <w:t xml:space="preserve">[2]</w:t>
      </w:r>
    </w:p>
    <w:p>
      <w:pPr>
        <w:numPr>
          <w:ilvl w:val="0"/>
          <w:numId w:val="1000"/>
        </w:numPr>
      </w:pPr>
      <w:r>
        <w:t xml:space="preserve">Tibo describes this as a roughly five-minute path that avoids installing the Codex app; Theo says it took him about two prompts after the proxy was already configured. [2, 3]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Add an explicit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consult another model when blocked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rule.</w:t>
      </w:r>
      <w:r>
        <w:t xml:space="preserve"> </w:t>
      </w:r>
      <w:r>
        <w:t xml:space="preserve">Start the primary coding agent on the implementation, then instruct it to use a second model through the terminal for suggestions at blockers. Sanfilippo used this GPT-to-Claude pattern on CUDA-kernel work; the secondary model’s clean context is the point, not parallel generation for its own sake.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Run a planning critique before implementation.</w:t>
      </w:r>
      <w:r>
        <w:t xml:space="preserve"> </w:t>
      </w:r>
      <w:r>
        <w:t xml:space="preserve">Give a second model the desired outcome plus your proposed approaches, and ask it to surface risks and constraints before transferring the discussion to the primary agent. Sanfilippo specifically recommends this two-instance handoff; he also cites OpenAI guidance that excessive implementation detail can degrade output, so lead with the outcome rather than a prescriptive build plan.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Use agents for probes; retain ownership of the hard abstraction.</w:t>
      </w:r>
      <w:r>
        <w:t xml:space="preserve"> </w:t>
      </w:r>
      <w:r>
        <w:t xml:space="preserve">Armin Ronacher finds Pi useful for quickly building POCs and probing APIs, but not for speeding up cross-provider abstraction design. Treat that split as a task-routing rule: delegate exploration, then keep critical thinking engaged for the design decision—otherwise, in his words, the result is</w:t>
      </w:r>
      <w:r>
        <w:t xml:space="preserve"> </w:t>
      </w:r>
      <w:r>
        <w:t xml:space="preserve">“</w:t>
      </w:r>
      <w:r>
        <w:t xml:space="preserve">slop.</w:t>
      </w:r>
      <w:r>
        <w:t xml:space="preserve">”</w:t>
      </w:r>
      <w:r>
        <w:t xml:space="preserve"> </w:t>
      </w:r>
      <w:r>
        <w:t xml:space="preserve">[4]</w:t>
      </w:r>
    </w:p>
    <w:bookmarkEnd w:id="21"/>
    <w:bookmarkStart w:id="22" w:name="what-shipped"/>
    <w:p>
      <w:pPr>
        <w:pStyle w:val="Heading2"/>
      </w:pPr>
      <w:r>
        <w:t xml:space="preserve">📡 WHAT SHIPPED</w:t>
      </w:r>
    </w:p>
    <w:p>
      <w:pPr>
        <w:pStyle w:val="FirstParagraph"/>
      </w:pPr>
      <w:r>
        <w:rPr>
          <w:iCs/>
          <w:i/>
        </w:rPr>
        <w:t xml:space="preserve">No additional release with enough new, practical implementation detail passed today’s filter; the strongest material was practitioner workflow evidence rather than release notes.</w:t>
      </w:r>
    </w:p>
    <w:bookmarkEnd w:id="22"/>
    <w:bookmarkStart w:id="32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13:35–14:58 — Sanfilippo on using Claude as GPT-5.6’s terminal adviser.</w:t>
      </w:r>
      <w:r>
        <w:t xml:space="preserve"> </w:t>
      </w:r>
      <w:r>
        <w:t xml:space="preserve">A concise walkthrough of the multi-model steering pattern and why a fresh-context reviewer can help recover an agent that is stuck. [1]</w:t>
      </w:r>
      <w:r>
        <w:t xml:space="preserve"> </w:t>
      </w:r>
      <w:hyperlink r:id="rId26">
        <w:r>
          <w:drawing>
            <wp:inline>
              <wp:extent cx="5334000" cy="4000500"/>
              <wp:effectExtent b="0" l="0" r="0" t="0"/>
              <wp:docPr descr="GPT 5.6, Fable e i moscerini della frutta | Zip episodio 01" title="" id="24" name="Picture"/>
              <a:graphic>
                <a:graphicData uri="http://schemas.openxmlformats.org/drawingml/2006/picture">
                  <pic:pic>
                    <pic:nvPicPr>
                      <pic:cNvPr descr="https://img.youtube.com/vi/mRRV8BbvNVM/hqdefault.jpg" id="2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GPT 5.6, Fable e i moscerini della frutta | Zip episodio 01 (13:35)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23:52–24:25 — Pre-plan with a second instance.</w:t>
      </w:r>
      <w:r>
        <w:t xml:space="preserve"> </w:t>
      </w:r>
      <w:r>
        <w:t xml:space="preserve">Watch for the actionable sequence: state the target, offer candidate strategies, ask for failure modes, then bring that critique to the implementation agent. [1]</w:t>
      </w:r>
    </w:p>
    <w:p>
      <w:pPr>
        <w:pStyle w:val="FirstParagraph"/>
      </w:pPr>
      <w:r>
        <w:rPr>
          <w:iCs/>
          <w:i/>
        </w:rPr>
        <w:t xml:space="preserve">Editorial take: the durable workflow is not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pick the winning model</w:t>
      </w:r>
      <w:r>
        <w:rPr>
          <w:iCs/>
          <w:i/>
        </w:rPr>
        <w:t xml:space="preserve">”</w:t>
      </w:r>
      <w:r>
        <w:rPr>
          <w:iCs/>
          <w:i/>
        </w:rPr>
        <w:t xml:space="preserve">—it is using a second model to break local reasoning loops while keeping human judgment on the abstractions that remain hard.</w:t>
      </w:r>
      <w:r>
        <w:t xml:space="preserve"> </w:t>
      </w:r>
      <w:r>
        <w:t xml:space="preserve">[1, 4]</w:t>
      </w:r>
    </w:p>
    <w:p>
      <w:r>
        <w:pict>
          <v:rect style="width:0;height:1.5pt" o:hralign="center" o:hrstd="t" o:hr="t"/>
        </w:pict>
      </w:r>
    </w:p>
    <w:bookmarkStart w:id="3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7">
        <w:r>
          <w:rPr>
            <w:rStyle w:val="Hyperlink"/>
          </w:rPr>
          <w:t xml:space="preserve">GPT 5.6, Fable e i moscerini della frutta | Zip episodio 01</w:t>
        </w:r>
      </w:hyperlink>
    </w:p>
    <w:p>
      <w:pPr>
        <w:numPr>
          <w:ilvl w:val="0"/>
          <w:numId w:val="1003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03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3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hyperlink" Id="rId27" Target="https://www.youtube.com/watch?v=mRRV8BbvNVM" TargetMode="External" /><Relationship Type="http://schemas.openxmlformats.org/officeDocument/2006/relationships/hyperlink" Id="rId30" Target="https://x.com/mitsuhiko/status/2075888852737122708" TargetMode="External" /><Relationship Type="http://schemas.openxmlformats.org/officeDocument/2006/relationships/hyperlink" Id="rId29" Target="https://x.com/theo/status/2076114415368482854" TargetMode="External" /><Relationship Type="http://schemas.openxmlformats.org/officeDocument/2006/relationships/hyperlink" Id="rId28" Target="https://x.com/thsottiaux/status/2076119366647894371" TargetMode="External" /><Relationship Type="http://schemas.openxmlformats.org/officeDocument/2006/relationships/hyperlink" Id="rId26" Target="https://youtube.com/watch?v=mRRV8BbvNVM&amp;t=81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www.youtube.com/watch?v=mRRV8BbvNVM" TargetMode="External" /><Relationship Type="http://schemas.openxmlformats.org/officeDocument/2006/relationships/hyperlink" Id="rId30" Target="https://x.com/mitsuhiko/status/2075888852737122708" TargetMode="External" /><Relationship Type="http://schemas.openxmlformats.org/officeDocument/2006/relationships/hyperlink" Id="rId29" Target="https://x.com/theo/status/2076114415368482854" TargetMode="External" /><Relationship Type="http://schemas.openxmlformats.org/officeDocument/2006/relationships/hyperlink" Id="rId28" Target="https://x.com/thsottiaux/status/2076119366647894371" TargetMode="External" /><Relationship Type="http://schemas.openxmlformats.org/officeDocument/2006/relationships/hyperlink" Id="rId26" Target="https://youtube.com/watch?v=mRRV8BbvNVM&amp;t=81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a Second Model to Steer Your Coding Agent</dc:title>
  <dc:creator>Coding Agents Alpha Tracker</dc:creator>
  <cp:keywords/>
  <dcterms:created xsi:type="dcterms:W3CDTF">2026-07-12T18:17:38Z</dcterms:created>
  <dcterms:modified xsi:type="dcterms:W3CDTF">2026-07-12T18:17:38Z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2026-07-12</vt:lpwstr>
  </property>
</Properties>
</file>