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9.jpg" ContentType="image/jpeg"/>
  <Override PartName="/word/media/rId11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Verification becomes the bottleneck as Codex/Cursor/Claude push longer-running coding agents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2026-02-19</w:t>
      </w:r>
    </w:p>
    <w:bookmarkStart w:id="128" w:name="X250e2272573c9c192d1475526f282e5ceabd01b"/>
    <w:p>
      <w:pPr>
        <w:pStyle w:val="Heading1"/>
      </w:pPr>
      <w:r>
        <w:t xml:space="preserve">Verification becomes the bottleneck as Codex/Cursor/Claude push longer-running coding agents</w:t>
      </w:r>
    </w:p>
    <w:p>
      <w:pPr>
        <w:pStyle w:val="FirstParagraph"/>
      </w:pPr>
      <w:r>
        <w:rPr>
          <w:i/>
          <w:iCs/>
        </w:rPr>
        <w:t xml:space="preserve">By Coding Agents Alpha Tracker • February 19, 2026</w:t>
      </w:r>
    </w:p>
    <w:p>
      <w:pPr>
        <w:pStyle w:val="BodyText"/>
      </w:pPr>
      <w:r>
        <w:t xml:space="preserve">Codex app workflows point to the new bottleneck: verification—teams are moving from</w:t>
      </w:r>
      <w:r>
        <w:t xml:space="preserve"> </w:t>
      </w:r>
      <w:r>
        <w:t xml:space="preserve">“</w:t>
      </w:r>
      <w:r>
        <w:t xml:space="preserve">review code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review evidence.</w:t>
      </w:r>
      <w:r>
        <w:t xml:space="preserve">”</w:t>
      </w:r>
      <w:r>
        <w:t xml:space="preserve"> </w:t>
      </w:r>
      <w:r>
        <w:t xml:space="preserve">Plus: SWE-bench’s independently-run Feb 2026 leaderboard, OneContext’s git-like cross-agent memory, Cursor’s past-conversation context, and new data on real-world Claude Code autonomy/oversight.</w:t>
      </w:r>
    </w:p>
    <w:bookmarkStart w:id="22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OpenAI’s</w:t>
      </w:r>
      <w:r>
        <w:t xml:space="preserve"> </w:t>
      </w:r>
      <w:r>
        <w:rPr>
          <w:b/>
          <w:bCs/>
        </w:rPr>
        <w:t xml:space="preserve">Codex app</w:t>
      </w:r>
      <w:r>
        <w:t xml:space="preserve"> </w:t>
      </w:r>
      <w:r>
        <w:t xml:space="preserve">is pushing a clear practitioner lesson: as agents generate</w:t>
      </w:r>
      <w:r>
        <w:t xml:space="preserve"> </w:t>
      </w:r>
      <w:r>
        <w:rPr>
          <w:i/>
          <w:iCs/>
        </w:rPr>
        <w:t xml:space="preserve">more</w:t>
      </w:r>
      <w:r>
        <w:t xml:space="preserve"> </w:t>
      </w:r>
      <w:r>
        <w:t xml:space="preserve">code,</w:t>
      </w:r>
      <w:r>
        <w:t xml:space="preserve"> </w:t>
      </w:r>
      <w:r>
        <w:rPr>
          <w:b/>
          <w:bCs/>
        </w:rPr>
        <w:t xml:space="preserve">verification becomes the bottleneck</w:t>
      </w:r>
      <w:r>
        <w:t xml:space="preserve">—not implementation speed. In a team discussion, Codex builders describe getting to</w:t>
      </w:r>
      <w:r>
        <w:t xml:space="preserve"> </w:t>
      </w:r>
      <w:r>
        <w:t xml:space="preserve">“</w:t>
      </w:r>
      <w:r>
        <w:t xml:space="preserve">too much code to review,</w:t>
      </w:r>
      <w:r>
        <w:t xml:space="preserve">”</w:t>
      </w:r>
      <w:r>
        <w:t xml:space="preserve"> </w:t>
      </w:r>
      <w:r>
        <w:t xml:space="preserve">and shifting toward evidence-driven PRs (agents clicking through flows, screenshotting, and uploading proof) as a way to reduce</w:t>
      </w:r>
      <w:r>
        <w:t xml:space="preserve"> </w:t>
      </w:r>
      <w:r>
        <w:t xml:space="preserve">“</w:t>
      </w:r>
      <w:r>
        <w:t xml:space="preserve">code as proxy</w:t>
      </w:r>
      <w:r>
        <w:t xml:space="preserve">”</w:t>
      </w:r>
      <w:r>
        <w:t xml:space="preserve"> </w:t>
      </w:r>
      <w:r>
        <w:t xml:space="preserve">verification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</w:t>
      </w:r>
    </w:p>
    <w:bookmarkEnd w:id="22"/>
    <w:bookmarkStart w:id="73" w:name="tools-models"/>
    <w:p>
      <w:pPr>
        <w:pStyle w:val="Heading2"/>
      </w:pPr>
      <w:r>
        <w:t xml:space="preserve">🛠️ TOOLS &amp; MODELS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OpenAI Codex app + GPT-5.3-Codex</w:t>
      </w:r>
    </w:p>
    <w:p>
      <w:pPr>
        <w:pStyle w:val="Compact"/>
        <w:numPr>
          <w:ilvl w:val="1"/>
          <w:numId w:val="1002"/>
        </w:numPr>
      </w:pPr>
      <w:r>
        <w:t xml:space="preserve">The Codex app launched last week and hit</w:t>
      </w:r>
      <w:r>
        <w:t xml:space="preserve"> </w:t>
      </w:r>
      <w:r>
        <w:rPr>
          <w:b/>
          <w:bCs/>
        </w:rPr>
        <w:t xml:space="preserve">1M+ downloads in the first week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pStyle w:val="Compact"/>
        <w:numPr>
          <w:ilvl w:val="1"/>
          <w:numId w:val="1002"/>
        </w:numPr>
      </w:pPr>
      <w:r>
        <w:t xml:space="preserve">OpenAI’s Thibault Sottiaux says</w:t>
      </w:r>
      <w:r>
        <w:t xml:space="preserve"> </w:t>
      </w:r>
      <w:r>
        <w:rPr>
          <w:b/>
          <w:bCs/>
        </w:rPr>
        <w:t xml:space="preserve">GPT-5.3-Codex</w:t>
      </w:r>
      <w:r>
        <w:t xml:space="preserve"> </w:t>
      </w:r>
      <w:r>
        <w:t xml:space="preserve">“</w:t>
      </w:r>
      <w:r>
        <w:t xml:space="preserve">beats every single other model</w:t>
      </w:r>
      <w:r>
        <w:t xml:space="preserve">”</w:t>
      </w:r>
      <w:r>
        <w:t xml:space="preserve"> </w:t>
      </w:r>
      <w:r>
        <w:t xml:space="preserve">on top coding benchmarks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 </w:t>
      </w:r>
      <w:r>
        <w:t xml:space="preserve">and that the team is still experimenting with how to supervise increasingly capable (and eventually multi-agent) systems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</w:t>
      </w:r>
    </w:p>
    <w:p>
      <w:pPr>
        <w:pStyle w:val="Compact"/>
        <w:numPr>
          <w:ilvl w:val="1"/>
          <w:numId w:val="1002"/>
        </w:numPr>
      </w:pPr>
      <w:r>
        <w:t xml:space="preserve">Product direction: a dedicated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command center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UI</w:t>
      </w:r>
      <w:r>
        <w:t xml:space="preserve"> </w:t>
      </w:r>
      <w:r>
        <w:t xml:space="preserve">optimized for steering/supervision (vs. doing tasks yourself)</w:t>
      </w:r>
      <w:r>
        <w:t xml:space="preserve"> </w:t>
      </w:r>
      <w:r>
        <w:rPr>
          <w:rStyle w:val="FootnoteReference"/>
        </w:rPr>
        <w:footnoteReference w:id="26"/>
      </w:r>
      <w:r>
        <w:rPr>
          <w:rStyle w:val="FootnoteReference"/>
        </w:rPr>
        <w:footnoteReference w:id="27"/>
      </w:r>
      <w:r>
        <w:t xml:space="preserve">, with features like</w:t>
      </w:r>
      <w:r>
        <w:t xml:space="preserve"> </w:t>
      </w:r>
      <w:r>
        <w:rPr>
          <w:b/>
          <w:bCs/>
        </w:rPr>
        <w:t xml:space="preserve">voice prompting, diagrams, and image rendering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pStyle w:val="Compact"/>
        <w:numPr>
          <w:ilvl w:val="1"/>
          <w:numId w:val="1002"/>
        </w:numPr>
      </w:pPr>
      <w:r>
        <w:t xml:space="preserve">Latency work: they rewrote serving around</w:t>
      </w:r>
      <w:r>
        <w:t xml:space="preserve"> </w:t>
      </w:r>
      <w:r>
        <w:rPr>
          <w:b/>
          <w:bCs/>
        </w:rPr>
        <w:t xml:space="preserve">websockets + persistent connections</w:t>
      </w:r>
      <w:r>
        <w:t xml:space="preserve">, targeting ~</w:t>
      </w:r>
      <w:r>
        <w:rPr>
          <w:b/>
          <w:bCs/>
        </w:rPr>
        <w:t xml:space="preserve">30–40% lower turn latency</w:t>
      </w:r>
      <w:r>
        <w:t xml:space="preserve">, and plan additional optimizations to make the experience</w:t>
      </w:r>
      <w:r>
        <w:t xml:space="preserve"> </w:t>
      </w:r>
      <w:r>
        <w:rPr>
          <w:b/>
          <w:bCs/>
        </w:rPr>
        <w:t xml:space="preserve">2–3× faster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Codex is (still) open source + app-server is the integration surface</w:t>
      </w:r>
    </w:p>
    <w:p>
      <w:pPr>
        <w:pStyle w:val="Compact"/>
        <w:numPr>
          <w:ilvl w:val="1"/>
          <w:numId w:val="1003"/>
        </w:numPr>
      </w:pPr>
      <w:r>
        <w:t xml:space="preserve">Romain Huet highlights that the</w:t>
      </w:r>
      <w:r>
        <w:t xml:space="preserve"> </w:t>
      </w:r>
      <w:r>
        <w:rPr>
          <w:b/>
          <w:bCs/>
        </w:rPr>
        <w:t xml:space="preserve">Codex agent is open source</w:t>
      </w:r>
      <w:r>
        <w:t xml:space="preserve">, including the</w:t>
      </w:r>
      <w:r>
        <w:t xml:space="preserve"> </w:t>
      </w:r>
      <w:r>
        <w:rPr>
          <w:b/>
          <w:bCs/>
        </w:rPr>
        <w:t xml:space="preserve">app server</w:t>
      </w:r>
      <w:r>
        <w:t xml:space="preserve">, and it’s the same server behind the Codex app and integrations like Xcode</w:t>
      </w:r>
      <w:r>
        <w:t xml:space="preserve"> </w:t>
      </w:r>
      <w:r>
        <w:rPr>
          <w:rStyle w:val="FootnoteReference"/>
        </w:rPr>
        <w:footnoteReference w:id="30"/>
      </w:r>
      <w:r>
        <w:rPr>
          <w:rStyle w:val="FootnoteReference"/>
        </w:rPr>
        <w:footnoteReference w:id="32"/>
      </w:r>
      <w:r>
        <w:t xml:space="preserve">.</w:t>
      </w:r>
    </w:p>
    <w:p>
      <w:pPr>
        <w:pStyle w:val="Compact"/>
        <w:numPr>
          <w:ilvl w:val="1"/>
          <w:numId w:val="1003"/>
        </w:numPr>
      </w:pPr>
      <w:r>
        <w:t xml:space="preserve">OpenAI devs also emphasize the shared open-source interface</w:t>
      </w:r>
      <w:r>
        <w:t xml:space="preserve"> </w:t>
      </w:r>
      <w:r>
        <w:rPr>
          <w:rStyle w:val="VerbatimChar"/>
          <w:b/>
          <w:bCs/>
        </w:rPr>
        <w:t xml:space="preserve">app-server</w:t>
      </w:r>
      <w:r>
        <w:t xml:space="preserve"> </w:t>
      </w:r>
      <w:r>
        <w:t xml:space="preserve">for embedding Codex into products (including sign-in with ChatGPT)</w:t>
      </w:r>
      <w:r>
        <w:t xml:space="preserve"> </w:t>
      </w:r>
      <w:r>
        <w:rPr>
          <w:rStyle w:val="FootnoteReference"/>
        </w:rPr>
        <w:footnoteReference w:id="34"/>
      </w:r>
      <w:r>
        <w:rPr>
          <w:rStyle w:val="FootnoteReference"/>
        </w:rPr>
        <w:footnoteReference w:id="36"/>
      </w:r>
      <w:r>
        <w:t xml:space="preserve">. Docs: https://developers.openai.com/codex/app-server/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SWE-bench (Feb 2026) leaderboard update (independent run)</w:t>
      </w:r>
    </w:p>
    <w:p>
      <w:pPr>
        <w:pStyle w:val="Compact"/>
        <w:numPr>
          <w:ilvl w:val="1"/>
          <w:numId w:val="1004"/>
        </w:numPr>
      </w:pPr>
      <w:r>
        <w:t xml:space="preserve">SWE-bench published fresh</w:t>
      </w:r>
      <w:r>
        <w:t xml:space="preserve"> </w:t>
      </w:r>
      <w:r>
        <w:t xml:space="preserve">“</w:t>
      </w:r>
      <w:r>
        <w:rPr>
          <w:b/>
          <w:bCs/>
        </w:rPr>
        <w:t xml:space="preserve">Bash Only</w:t>
      </w:r>
      <w:r>
        <w:t xml:space="preserve">”</w:t>
      </w:r>
      <w:r>
        <w:t xml:space="preserve"> </w:t>
      </w:r>
      <w:r>
        <w:t xml:space="preserve">results run against the current generation of models using</w:t>
      </w:r>
      <w:r>
        <w:t xml:space="preserve"> </w:t>
      </w:r>
      <w:r>
        <w:rPr>
          <w:b/>
          <w:bCs/>
        </w:rPr>
        <w:t xml:space="preserve">mini-swe-agent</w:t>
      </w:r>
      <w:r>
        <w:t xml:space="preserve"> </w:t>
      </w:r>
      <w:r>
        <w:t xml:space="preserve">(~9k lines Python) and</w:t>
      </w:r>
      <w:r>
        <w:t xml:space="preserve"> </w:t>
      </w:r>
      <w:r>
        <w:rPr>
          <w:b/>
          <w:bCs/>
        </w:rPr>
        <w:t xml:space="preserve">one shared system prompt</w:t>
      </w:r>
      <w:r>
        <w:t xml:space="preserve"> </w:t>
      </w:r>
      <w:r>
        <w:t xml:space="preserve">across models for comparability</w:t>
      </w:r>
      <w:r>
        <w:t xml:space="preserve"> </w:t>
      </w:r>
      <w:r>
        <w:rPr>
          <w:rStyle w:val="FootnoteReference"/>
        </w:rPr>
        <w:footnoteReference w:id="39"/>
      </w:r>
      <w:r>
        <w:rPr>
          <w:rStyle w:val="FootnoteReference"/>
        </w:rPr>
        <w:footnoteReference w:id="41"/>
      </w:r>
      <w:r>
        <w:t xml:space="preserve">.</w:t>
      </w:r>
    </w:p>
    <w:p>
      <w:pPr>
        <w:pStyle w:val="Compact"/>
        <w:numPr>
          <w:ilvl w:val="1"/>
          <w:numId w:val="1004"/>
        </w:numPr>
      </w:pPr>
      <w:r>
        <w:t xml:space="preserve">Top scores (</w:t>
      </w:r>
      <w:r>
        <w:t xml:space="preserve">“</w:t>
      </w:r>
      <w:r>
        <w:t xml:space="preserve">% Resolved</w:t>
      </w:r>
      <w:r>
        <w:t xml:space="preserve">”</w:t>
      </w:r>
      <w:r>
        <w:t xml:space="preserve">) include</w:t>
      </w:r>
      <w:r>
        <w:t xml:space="preserve"> </w:t>
      </w:r>
      <w:r>
        <w:rPr>
          <w:b/>
          <w:bCs/>
        </w:rPr>
        <w:t xml:space="preserve">Claude 4.5 Opus 76.8%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Gemini 3 Flash 75.8%</w:t>
      </w:r>
      <w:r>
        <w:t xml:space="preserve">; OpenAI’s</w:t>
      </w:r>
      <w:r>
        <w:t xml:space="preserve"> </w:t>
      </w:r>
      <w:r>
        <w:rPr>
          <w:b/>
          <w:bCs/>
        </w:rPr>
        <w:t xml:space="preserve">GPT-5.2</w:t>
      </w:r>
      <w:r>
        <w:t xml:space="preserve"> </w:t>
      </w:r>
      <w:r>
        <w:t xml:space="preserve">appears at</w:t>
      </w:r>
      <w:r>
        <w:t xml:space="preserve"> </w:t>
      </w:r>
      <w:r>
        <w:rPr>
          <w:b/>
          <w:bCs/>
        </w:rPr>
        <w:t xml:space="preserve">72.8%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</w:t>
      </w:r>
    </w:p>
    <w:p>
      <w:pPr>
        <w:pStyle w:val="Compact"/>
        <w:numPr>
          <w:ilvl w:val="1"/>
          <w:numId w:val="1004"/>
        </w:numPr>
      </w:pPr>
      <w:r>
        <w:t xml:space="preserve">Notably absent:</w:t>
      </w:r>
      <w:r>
        <w:t xml:space="preserve"> </w:t>
      </w:r>
      <w:r>
        <w:rPr>
          <w:b/>
          <w:bCs/>
        </w:rPr>
        <w:t xml:space="preserve">GPT-5.3-Codex</w:t>
      </w:r>
      <w:r>
        <w:t xml:space="preserve">, which Simon Willison suggests may be because it isn’t available in the OpenAI API</w:t>
      </w:r>
      <w:r>
        <w:t xml:space="preserve"> </w:t>
      </w:r>
      <w:r>
        <w:rPr>
          <w:rStyle w:val="FootnoteReference"/>
        </w:rPr>
        <w:footnoteReference w:id="43"/>
      </w:r>
      <w:r>
        <w:rPr>
          <w:rStyle w:val="FootnoteReference"/>
        </w:rPr>
        <w:footnoteReference w:id="44"/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Cursor 2.5: past conversations as context</w:t>
      </w:r>
    </w:p>
    <w:p>
      <w:pPr>
        <w:pStyle w:val="Compact"/>
        <w:numPr>
          <w:ilvl w:val="1"/>
          <w:numId w:val="1005"/>
        </w:numPr>
      </w:pPr>
      <w:r>
        <w:t xml:space="preserve">Cursor says it can now</w:t>
      </w:r>
      <w:r>
        <w:t xml:space="preserve"> </w:t>
      </w:r>
      <w:r>
        <w:rPr>
          <w:b/>
          <w:bCs/>
        </w:rPr>
        <w:t xml:space="preserve">use past conversations as context</w:t>
      </w:r>
      <w:r>
        <w:t xml:space="preserve"> </w:t>
      </w:r>
      <w:r>
        <w:t xml:space="preserve">for continuity across dev sessions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 Changelog: http://cursor.com/changelog/2-5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OneContext (new): Git-like, cross-agent persistent memory</w:t>
      </w:r>
    </w:p>
    <w:p>
      <w:pPr>
        <w:pStyle w:val="Compact"/>
        <w:numPr>
          <w:ilvl w:val="1"/>
          <w:numId w:val="1006"/>
        </w:numPr>
      </w:pPr>
      <w:r>
        <w:t xml:space="preserve">OneContext is a new CLI that implements a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Git Context Controller</w:t>
      </w:r>
      <w:r>
        <w:rPr>
          <w:b/>
          <w:bCs/>
        </w:rPr>
        <w:t xml:space="preserve">”</w:t>
      </w:r>
      <w:r>
        <w:t xml:space="preserve"> </w:t>
      </w:r>
      <w:r>
        <w:t xml:space="preserve">approach: memory stored as a simple file hierarchy (e.g.,</w:t>
      </w:r>
      <w:r>
        <w:t xml:space="preserve"> </w:t>
      </w:r>
      <w:r>
        <w:rPr>
          <w:rStyle w:val="VerbatimChar"/>
        </w:rPr>
        <w:t xml:space="preserve">main.md</w:t>
      </w:r>
      <w:r>
        <w:t xml:space="preserve">, branch folders, commit logs) and reused across</w:t>
      </w:r>
      <w:r>
        <w:t xml:space="preserve"> </w:t>
      </w:r>
      <w:r>
        <w:rPr>
          <w:b/>
          <w:bCs/>
        </w:rPr>
        <w:t xml:space="preserve">sessions and coding agents</w:t>
      </w:r>
      <w:r>
        <w:t xml:space="preserve"> </w:t>
      </w:r>
      <w:r>
        <w:rPr>
          <w:rStyle w:val="FootnoteReference"/>
        </w:rPr>
        <w:footnoteReference w:id="50"/>
      </w:r>
      <w:r>
        <w:rPr>
          <w:rStyle w:val="FootnoteReference"/>
        </w:rPr>
        <w:footnoteReference w:id="52"/>
      </w:r>
      <w:r>
        <w:t xml:space="preserve">.</w:t>
      </w:r>
    </w:p>
    <w:p>
      <w:pPr>
        <w:pStyle w:val="Compact"/>
        <w:numPr>
          <w:ilvl w:val="1"/>
          <w:numId w:val="1006"/>
        </w:numPr>
      </w:pPr>
      <w:r>
        <w:t xml:space="preserve">Install + run:</w:t>
      </w:r>
      <w:r>
        <w:t xml:space="preserve"> </w:t>
      </w:r>
      <w:r>
        <w:rPr>
          <w:rStyle w:val="VerbatimChar"/>
        </w:rPr>
        <w:t xml:space="preserve">npm i -g onecontext-ai</w:t>
      </w:r>
      <w:r>
        <w:t xml:space="preserve"> </w:t>
      </w:r>
      <w:r>
        <w:t xml:space="preserve">then</w:t>
      </w:r>
      <w:r>
        <w:t xml:space="preserve"> </w:t>
      </w:r>
      <w:r>
        <w:rPr>
          <w:rStyle w:val="VerbatimChar"/>
        </w:rPr>
        <w:t xml:space="preserve">onecontext</w:t>
      </w:r>
      <w:r>
        <w:t xml:space="preserve"> </w:t>
      </w:r>
      <w:r>
        <w:rPr>
          <w:rStyle w:val="FootnoteReference"/>
        </w:rPr>
        <w:footnoteReference w:id="53"/>
      </w:r>
      <w:r>
        <w:rPr>
          <w:rStyle w:val="FootnoteReference"/>
        </w:rPr>
        <w:footnoteReference w:id="54"/>
      </w:r>
      <w:r>
        <w:t xml:space="preserve">.</w:t>
      </w:r>
    </w:p>
    <w:p>
      <w:pPr>
        <w:pStyle w:val="Compact"/>
        <w:numPr>
          <w:ilvl w:val="1"/>
          <w:numId w:val="1006"/>
        </w:numPr>
      </w:pPr>
      <w:r>
        <w:t xml:space="preserve">Motivation claim: despite 1M-token windows,</w:t>
      </w:r>
      <w:r>
        <w:t xml:space="preserve"> </w:t>
      </w:r>
      <w:r>
        <w:t xml:space="preserve">“</w:t>
      </w:r>
      <w:r>
        <w:t xml:space="preserve">effective</w:t>
      </w:r>
      <w:r>
        <w:t xml:space="preserve">”</w:t>
      </w:r>
      <w:r>
        <w:t xml:space="preserve"> </w:t>
      </w:r>
      <w:r>
        <w:t xml:space="preserve">context is closer to</w:t>
      </w:r>
      <w:r>
        <w:t xml:space="preserve"> </w:t>
      </w:r>
      <w:r>
        <w:rPr>
          <w:b/>
          <w:bCs/>
        </w:rPr>
        <w:t xml:space="preserve">120–200k</w:t>
      </w:r>
      <w:r>
        <w:t xml:space="preserve">, so compaction/memory structures matter</w:t>
      </w:r>
      <w:r>
        <w:t xml:space="preserve"> </w:t>
      </w:r>
      <w:r>
        <w:rPr>
          <w:rStyle w:val="FootnoteReference"/>
        </w:rPr>
        <w:footnoteReference w:id="55"/>
      </w:r>
      <w:r>
        <w:rPr>
          <w:rStyle w:val="FootnoteReference"/>
        </w:rPr>
        <w:footnoteReference w:id="56"/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Anthropic: measuring agent autonomy in practice (usage telemetry)</w:t>
      </w:r>
    </w:p>
    <w:p>
      <w:pPr>
        <w:pStyle w:val="Compact"/>
        <w:numPr>
          <w:ilvl w:val="1"/>
          <w:numId w:val="1007"/>
        </w:numPr>
      </w:pPr>
      <w:r>
        <w:t xml:space="preserve">Anthropic analyzed millions of Claude Code + API interactions to characterize autonomy/oversight in the wild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</w:t>
      </w:r>
    </w:p>
    <w:p>
      <w:pPr>
        <w:pStyle w:val="Compact"/>
        <w:numPr>
          <w:ilvl w:val="1"/>
          <w:numId w:val="1007"/>
        </w:numPr>
      </w:pPr>
      <w:r>
        <w:t xml:space="preserve">Key numbers: median Claude Code turn ~</w:t>
      </w:r>
      <w:r>
        <w:rPr>
          <w:b/>
          <w:bCs/>
        </w:rPr>
        <w:t xml:space="preserve">45s</w:t>
      </w:r>
      <w:r>
        <w:t xml:space="preserve">, but the</w:t>
      </w:r>
      <w:r>
        <w:t xml:space="preserve"> </w:t>
      </w:r>
      <w:r>
        <w:rPr>
          <w:b/>
          <w:bCs/>
        </w:rPr>
        <w:t xml:space="preserve">99.9th percentile</w:t>
      </w:r>
      <w:r>
        <w:t xml:space="preserve"> </w:t>
      </w:r>
      <w:r>
        <w:t xml:space="preserve">duration grew from</w:t>
      </w:r>
      <w:r>
        <w:t xml:space="preserve"> </w:t>
      </w:r>
      <w:r>
        <w:rPr>
          <w:b/>
          <w:bCs/>
        </w:rPr>
        <w:t xml:space="preserve">&lt;25 min to &gt;45 min</w:t>
      </w:r>
      <w:r>
        <w:t xml:space="preserve"> </w:t>
      </w:r>
      <w:r>
        <w:t xml:space="preserve">over three months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</w:p>
    <w:p>
      <w:pPr>
        <w:pStyle w:val="Compact"/>
        <w:numPr>
          <w:ilvl w:val="1"/>
          <w:numId w:val="1007"/>
        </w:numPr>
      </w:pPr>
      <w:r>
        <w:t xml:space="preserve">Oversight shift: after ~750 sessions,</w:t>
      </w:r>
      <w:r>
        <w:t xml:space="preserve"> </w:t>
      </w:r>
      <w:r>
        <w:rPr>
          <w:b/>
          <w:bCs/>
        </w:rPr>
        <w:t xml:space="preserve">&gt;40%</w:t>
      </w:r>
      <w:r>
        <w:t xml:space="preserve"> </w:t>
      </w:r>
      <w:r>
        <w:t xml:space="preserve">of sessions are fully auto-approved; interruptions also rise with experience (5% → 9%)</w:t>
      </w:r>
      <w:r>
        <w:t xml:space="preserve"> </w:t>
      </w:r>
      <w:r>
        <w:rPr>
          <w:rStyle w:val="FootnoteReference"/>
        </w:rPr>
        <w:footnoteReference w:id="61"/>
      </w:r>
      <w:r>
        <w:rPr>
          <w:rStyle w:val="FootnoteReference"/>
        </w:rPr>
        <w:footnoteReference w:id="63"/>
      </w:r>
      <w:r>
        <w:t xml:space="preserve">.</w:t>
      </w:r>
    </w:p>
    <w:p>
      <w:pPr>
        <w:pStyle w:val="Compact"/>
        <w:numPr>
          <w:ilvl w:val="1"/>
          <w:numId w:val="1007"/>
        </w:numPr>
      </w:pPr>
      <w:r>
        <w:t xml:space="preserve">Risk surface:</w:t>
      </w:r>
      <w:r>
        <w:t xml:space="preserve"> </w:t>
      </w:r>
      <w:r>
        <w:rPr>
          <w:b/>
          <w:bCs/>
        </w:rPr>
        <w:t xml:space="preserve">73%</w:t>
      </w:r>
      <w:r>
        <w:t xml:space="preserve"> </w:t>
      </w:r>
      <w:r>
        <w:t xml:space="preserve">of tool calls appear human-in-the-loop;</w:t>
      </w:r>
      <w:r>
        <w:t xml:space="preserve"> </w:t>
      </w:r>
      <w:r>
        <w:rPr>
          <w:b/>
          <w:bCs/>
        </w:rPr>
        <w:t xml:space="preserve">0.8%</w:t>
      </w:r>
      <w:r>
        <w:t xml:space="preserve"> </w:t>
      </w:r>
      <w:r>
        <w:t xml:space="preserve">are irreversible; frontier cases include security systems, financial transactions, and production deployments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LangSmith Agent Builder update +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evals as code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case study</w:t>
      </w:r>
    </w:p>
    <w:p>
      <w:pPr>
        <w:pStyle w:val="Compact"/>
        <w:numPr>
          <w:ilvl w:val="1"/>
          <w:numId w:val="1008"/>
        </w:numPr>
      </w:pPr>
      <w:r>
        <w:t xml:space="preserve">LangChain shipped updates to</w:t>
      </w:r>
      <w:r>
        <w:t xml:space="preserve"> </w:t>
      </w:r>
      <w:r>
        <w:rPr>
          <w:b/>
          <w:bCs/>
        </w:rPr>
        <w:t xml:space="preserve">LangSmith Agent Builder</w:t>
      </w:r>
      <w:r>
        <w:t xml:space="preserve">: always-available agent chat, one-click</w:t>
      </w:r>
      <w:r>
        <w:t xml:space="preserve"> </w:t>
      </w:r>
      <w:r>
        <w:t xml:space="preserve">“</w:t>
      </w:r>
      <w:r>
        <w:t xml:space="preserve">Chat → Agent,</w:t>
      </w:r>
      <w:r>
        <w:t xml:space="preserve">”</w:t>
      </w:r>
      <w:r>
        <w:t xml:space="preserve"> </w:t>
      </w:r>
      <w:r>
        <w:t xml:space="preserve">file uploads, and a tool registry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</w:t>
      </w:r>
    </w:p>
    <w:p>
      <w:pPr>
        <w:pStyle w:val="Compact"/>
        <w:numPr>
          <w:ilvl w:val="1"/>
          <w:numId w:val="1008"/>
        </w:numPr>
      </w:pPr>
      <w:r>
        <w:t xml:space="preserve">monday.com describes a code-first eval strategy for production service agents, claiming</w:t>
      </w:r>
      <w:r>
        <w:t xml:space="preserve"> </w:t>
      </w:r>
      <w:r>
        <w:rPr>
          <w:b/>
          <w:bCs/>
        </w:rPr>
        <w:t xml:space="preserve">8.7× faster</w:t>
      </w:r>
      <w:r>
        <w:t xml:space="preserve"> </w:t>
      </w:r>
      <w:r>
        <w:t xml:space="preserve">eval feedback loops (162s → 18s) by combining</w:t>
      </w:r>
      <w:r>
        <w:t xml:space="preserve"> </w:t>
      </w:r>
      <w:r>
        <w:rPr>
          <w:b/>
          <w:bCs/>
        </w:rPr>
        <w:t xml:space="preserve">parallelized Vitest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concurrent LLM evals</w:t>
      </w:r>
      <w:r>
        <w:t xml:space="preserve">, plus GitOps-style CI/CD for evaluation logic</w:t>
      </w:r>
      <w:r>
        <w:t xml:space="preserve"> </w:t>
      </w:r>
      <w:r>
        <w:rPr>
          <w:rStyle w:val="FootnoteReference"/>
        </w:rPr>
        <w:footnoteReference w:id="69"/>
      </w:r>
      <w:r>
        <w:rPr>
          <w:rStyle w:val="FootnoteReference"/>
        </w:rPr>
        <w:footnoteReference w:id="71"/>
      </w:r>
      <w:r>
        <w:rPr>
          <w:rStyle w:val="FootnoteReference"/>
        </w:rPr>
        <w:footnoteReference w:id="72"/>
      </w:r>
      <w:r>
        <w:t xml:space="preserve">.</w:t>
      </w:r>
    </w:p>
    <w:bookmarkEnd w:id="73"/>
    <w:bookmarkStart w:id="94" w:name="workflows-tricks"/>
    <w:p>
      <w:pPr>
        <w:pStyle w:val="Heading2"/>
      </w:pPr>
      <w:r>
        <w:t xml:space="preserve">💡 WORKFLOWS &amp; TRICKS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Shift PR verification from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review code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to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review evidence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(Codex app pattern)</w:t>
      </w:r>
    </w:p>
    <w:p>
      <w:pPr>
        <w:pStyle w:val="Compact"/>
        <w:numPr>
          <w:ilvl w:val="1"/>
          <w:numId w:val="1010"/>
        </w:numPr>
      </w:pPr>
      <w:r>
        <w:t xml:space="preserve">The Codex team describes a pragmatic move: have the agent</w:t>
      </w:r>
      <w:r>
        <w:t xml:space="preserve"> </w:t>
      </w:r>
      <w:r>
        <w:rPr>
          <w:b/>
          <w:bCs/>
        </w:rPr>
        <w:t xml:space="preserve">run the app</w:t>
      </w:r>
      <w:r>
        <w:t xml:space="preserve">,</w:t>
      </w:r>
      <w:r>
        <w:t xml:space="preserve"> </w:t>
      </w:r>
      <w:r>
        <w:rPr>
          <w:b/>
          <w:bCs/>
        </w:rPr>
        <w:t xml:space="preserve">click around</w:t>
      </w:r>
      <w:r>
        <w:t xml:space="preserve">,</w:t>
      </w:r>
      <w:r>
        <w:t xml:space="preserve"> </w:t>
      </w:r>
      <w:r>
        <w:rPr>
          <w:b/>
          <w:bCs/>
        </w:rPr>
        <w:t xml:space="preserve">take screenshots for evidence</w:t>
      </w:r>
      <w:r>
        <w:t xml:space="preserve">, and</w:t>
      </w:r>
      <w:r>
        <w:t xml:space="preserve"> </w:t>
      </w:r>
      <w:r>
        <w:rPr>
          <w:b/>
          <w:bCs/>
        </w:rPr>
        <w:t xml:space="preserve">upload proof to the PR</w:t>
      </w:r>
      <w:r>
        <w:t xml:space="preserve">—so reviewers verify behavior directly rather than treating code review as the only proxy for correctness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Use UI features to keep supervision tractable as agents parallelize</w:t>
      </w:r>
    </w:p>
    <w:p>
      <w:pPr>
        <w:pStyle w:val="Compact"/>
        <w:numPr>
          <w:ilvl w:val="1"/>
          <w:numId w:val="1011"/>
        </w:numPr>
      </w:pPr>
      <w:r>
        <w:t xml:space="preserve">Codex builders argue that as you run</w:t>
      </w:r>
      <w:r>
        <w:t xml:space="preserve"> </w:t>
      </w:r>
      <w:r>
        <w:rPr>
          <w:b/>
          <w:bCs/>
        </w:rPr>
        <w:t xml:space="preserve">many tasks in parallel</w:t>
      </w:r>
      <w:r>
        <w:t xml:space="preserve">, a dedicated UI matters for</w:t>
      </w:r>
      <w:r>
        <w:t xml:space="preserve"> </w:t>
      </w:r>
      <w:r>
        <w:t xml:space="preserve">“</w:t>
      </w:r>
      <w:r>
        <w:t xml:space="preserve">visibility into what the system is doing</w:t>
      </w:r>
      <w:r>
        <w:t xml:space="preserve">”</w:t>
      </w:r>
      <w:r>
        <w:t xml:space="preserve"> </w:t>
      </w:r>
      <w:r>
        <w:t xml:space="preserve">and for steering/supervising outcomes</w:t>
      </w:r>
      <w:r>
        <w:t xml:space="preserve"> </w:t>
      </w:r>
      <w:r>
        <w:rPr>
          <w:rStyle w:val="FootnoteReference"/>
        </w:rPr>
        <w:footnoteReference w:id="75"/>
      </w:r>
      <w:r>
        <w:rPr>
          <w:rStyle w:val="FootnoteReference"/>
        </w:rPr>
        <w:footnoteReference w:id="76"/>
      </w:r>
      <w:r>
        <w:t xml:space="preserve">.</w:t>
      </w:r>
    </w:p>
    <w:p>
      <w:pPr>
        <w:pStyle w:val="Compact"/>
        <w:numPr>
          <w:ilvl w:val="1"/>
          <w:numId w:val="1011"/>
        </w:numPr>
      </w:pPr>
      <w:r>
        <w:t xml:space="preserve">Concrete interaction primitives:</w:t>
      </w:r>
    </w:p>
    <w:p>
      <w:pPr>
        <w:pStyle w:val="Compact"/>
        <w:numPr>
          <w:ilvl w:val="2"/>
          <w:numId w:val="1012"/>
        </w:numPr>
      </w:pPr>
      <w:r>
        <w:rPr>
          <w:b/>
          <w:bCs/>
        </w:rPr>
        <w:t xml:space="preserve">Mid-turn steering</w:t>
      </w:r>
      <w:r>
        <w:t xml:space="preserve">: send new instructions while the model is still working; it adapts in real time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.</w:t>
      </w:r>
    </w:p>
    <w:p>
      <w:pPr>
        <w:pStyle w:val="Compact"/>
        <w:numPr>
          <w:ilvl w:val="2"/>
          <w:numId w:val="1012"/>
        </w:numPr>
      </w:pPr>
      <w:r>
        <w:rPr>
          <w:b/>
          <w:bCs/>
        </w:rPr>
        <w:t xml:space="preserve">Plan mode</w:t>
      </w:r>
      <w:r>
        <w:t xml:space="preserve">: quick Q&amp;A plus an editable plan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p>
      <w:pPr>
        <w:pStyle w:val="Compact"/>
        <w:numPr>
          <w:ilvl w:val="2"/>
          <w:numId w:val="1012"/>
        </w:numPr>
      </w:pPr>
      <w:r>
        <w:rPr>
          <w:b/>
          <w:bCs/>
        </w:rPr>
        <w:t xml:space="preserve">Review mode</w:t>
      </w:r>
      <w:r>
        <w:t xml:space="preserve">: annotate diffs with findings/stylistic notes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Automations that actually ship: treat agents like scheduled workers</w:t>
      </w:r>
    </w:p>
    <w:p>
      <w:pPr>
        <w:pStyle w:val="Compact"/>
        <w:numPr>
          <w:ilvl w:val="1"/>
          <w:numId w:val="1013"/>
        </w:numPr>
      </w:pPr>
      <w:r>
        <w:t xml:space="preserve">Keep PRs mergeable: run a time-scheduled automation that</w:t>
      </w:r>
      <w:r>
        <w:t xml:space="preserve"> </w:t>
      </w:r>
      <w:r>
        <w:rPr>
          <w:b/>
          <w:bCs/>
        </w:rPr>
        <w:t xml:space="preserve">resolves merge conflicts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fixes build issues</w:t>
      </w:r>
      <w:r>
        <w:t xml:space="preserve"> </w:t>
      </w:r>
      <w:r>
        <w:t xml:space="preserve">via GitHub/CI skills (hourly / every two hours)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.</w:t>
      </w:r>
    </w:p>
    <w:p>
      <w:pPr>
        <w:pStyle w:val="Compact"/>
        <w:numPr>
          <w:ilvl w:val="1"/>
          <w:numId w:val="1013"/>
        </w:numPr>
      </w:pPr>
      <w:r>
        <w:t xml:space="preserve">“</w:t>
      </w:r>
      <w:r>
        <w:t xml:space="preserve">Random file</w:t>
      </w:r>
      <w:r>
        <w:t xml:space="preserve">”</w:t>
      </w:r>
      <w:r>
        <w:t xml:space="preserve"> </w:t>
      </w:r>
      <w:r>
        <w:t xml:space="preserve">bug hunting: periodically pick a random file (via</w:t>
      </w:r>
      <w:r>
        <w:t xml:space="preserve"> </w:t>
      </w:r>
      <w:r>
        <w:rPr>
          <w:rStyle w:val="VerbatimChar"/>
        </w:rPr>
        <w:t xml:space="preserve">Python rand</w:t>
      </w:r>
      <w:r>
        <w:t xml:space="preserve">), find a subtle bug, fix and merge—reported to catch latent issues that wouldn’t be found otherwise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</w:t>
      </w:r>
    </w:p>
    <w:p>
      <w:pPr>
        <w:pStyle w:val="Compact"/>
        <w:numPr>
          <w:ilvl w:val="1"/>
          <w:numId w:val="1013"/>
        </w:numPr>
      </w:pPr>
      <w:r>
        <w:t xml:space="preserve">Daily</w:t>
      </w:r>
      <w:r>
        <w:t xml:space="preserve"> </w:t>
      </w:r>
      <w:r>
        <w:t xml:space="preserve">“</w:t>
      </w:r>
      <w:r>
        <w:t xml:space="preserve">what merged</w:t>
      </w:r>
      <w:r>
        <w:t xml:space="preserve">”</w:t>
      </w:r>
      <w:r>
        <w:t xml:space="preserve"> </w:t>
      </w:r>
      <w:r>
        <w:t xml:space="preserve">report: get a themed summary of merged contributions to stay oriented during chaotic pre-launch periods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Memory as a repo: branch/commit/merge your agent’s context (OneContext pattern)</w:t>
      </w:r>
    </w:p>
    <w:p>
      <w:pPr>
        <w:pStyle w:val="Compact"/>
        <w:numPr>
          <w:ilvl w:val="1"/>
          <w:numId w:val="1014"/>
        </w:numPr>
      </w:pPr>
      <w:r>
        <w:t xml:space="preserve">Minimal structure:</w:t>
      </w:r>
    </w:p>
    <w:p>
      <w:pPr>
        <w:pStyle w:val="Compact"/>
        <w:numPr>
          <w:ilvl w:val="2"/>
          <w:numId w:val="1015"/>
        </w:numPr>
      </w:pPr>
      <w:r>
        <w:rPr>
          <w:rStyle w:val="VerbatimChar"/>
        </w:rPr>
        <w:t xml:space="preserve">main.md</w:t>
      </w:r>
      <w:r>
        <w:t xml:space="preserve"> </w:t>
      </w:r>
      <w:r>
        <w:t xml:space="preserve">for global roadmap/context</w:t>
      </w:r>
      <w:r>
        <w:t xml:space="preserve"> </w:t>
      </w:r>
      <w:r>
        <w:rPr>
          <w:rStyle w:val="FootnoteReference"/>
        </w:rPr>
        <w:footnoteReference w:id="83"/>
      </w:r>
    </w:p>
    <w:p>
      <w:pPr>
        <w:pStyle w:val="Compact"/>
        <w:numPr>
          <w:ilvl w:val="2"/>
          <w:numId w:val="1015"/>
        </w:numPr>
      </w:pPr>
      <w:r>
        <w:t xml:space="preserve">per-branch folders with</w:t>
      </w:r>
      <w:r>
        <w:t xml:space="preserve"> </w:t>
      </w:r>
      <w:r>
        <w:rPr>
          <w:rStyle w:val="VerbatimChar"/>
        </w:rPr>
        <w:t xml:space="preserve">commit.md</w:t>
      </w:r>
      <w:r>
        <w:t xml:space="preserve"> </w:t>
      </w:r>
      <w:r>
        <w:t xml:space="preserve">(milestones) and</w:t>
      </w:r>
      <w:r>
        <w:t xml:space="preserve"> </w:t>
      </w:r>
      <w:r>
        <w:rPr>
          <w:rStyle w:val="VerbatimChar"/>
        </w:rPr>
        <w:t xml:space="preserve">log.md</w:t>
      </w:r>
      <w:r>
        <w:t xml:space="preserve"> </w:t>
      </w:r>
      <w:r>
        <w:t xml:space="preserve">(raw conversations), plus metadata</w:t>
      </w:r>
      <w:r>
        <w:t xml:space="preserve"> </w:t>
      </w:r>
      <w:r>
        <w:rPr>
          <w:rStyle w:val="FootnoteReference"/>
        </w:rPr>
        <w:footnoteReference w:id="84"/>
      </w:r>
      <w:r>
        <w:rPr>
          <w:rStyle w:val="FootnoteReference"/>
        </w:rPr>
        <w:footnoteReference w:id="85"/>
      </w:r>
      <w:r>
        <w:rPr>
          <w:rStyle w:val="FootnoteReference"/>
        </w:rPr>
        <w:footnoteReference w:id="86"/>
      </w:r>
    </w:p>
    <w:p>
      <w:pPr>
        <w:pStyle w:val="Compact"/>
        <w:numPr>
          <w:ilvl w:val="1"/>
          <w:numId w:val="1014"/>
        </w:numPr>
      </w:pPr>
      <w:r>
        <w:t xml:space="preserve">Three actions to make this operational for long tasks:</w:t>
      </w:r>
    </w:p>
    <w:p>
      <w:pPr>
        <w:pStyle w:val="Compact"/>
        <w:numPr>
          <w:ilvl w:val="2"/>
          <w:numId w:val="1016"/>
        </w:numPr>
      </w:pPr>
      <w:r>
        <w:rPr>
          <w:b/>
          <w:bCs/>
        </w:rPr>
        <w:t xml:space="preserve">branch</w:t>
      </w:r>
      <w:r>
        <w:t xml:space="preserve"> </w:t>
      </w:r>
      <w:r>
        <w:t xml:space="preserve">when exploring an alternative strategy</w:t>
      </w:r>
      <w:r>
        <w:t xml:space="preserve"> </w:t>
      </w:r>
      <w:r>
        <w:rPr>
          <w:rStyle w:val="FootnoteReference"/>
        </w:rPr>
        <w:footnoteReference w:id="87"/>
      </w:r>
    </w:p>
    <w:p>
      <w:pPr>
        <w:pStyle w:val="Compact"/>
        <w:numPr>
          <w:ilvl w:val="2"/>
          <w:numId w:val="1016"/>
        </w:numPr>
      </w:pPr>
      <w:r>
        <w:rPr>
          <w:b/>
          <w:bCs/>
        </w:rPr>
        <w:t xml:space="preserve">commit</w:t>
      </w:r>
      <w:r>
        <w:t xml:space="preserve"> </w:t>
      </w:r>
      <w:r>
        <w:t xml:space="preserve">at milestones/subtasks to summarize progress</w:t>
      </w:r>
      <w:r>
        <w:t xml:space="preserve"> </w:t>
      </w:r>
      <w:r>
        <w:rPr>
          <w:rStyle w:val="FootnoteReference"/>
        </w:rPr>
        <w:footnoteReference w:id="88"/>
      </w:r>
      <w:r>
        <w:rPr>
          <w:rStyle w:val="FootnoteReference"/>
        </w:rPr>
        <w:footnoteReference w:id="89"/>
      </w:r>
    </w:p>
    <w:p>
      <w:pPr>
        <w:pStyle w:val="Compact"/>
        <w:numPr>
          <w:ilvl w:val="2"/>
          <w:numId w:val="1016"/>
        </w:numPr>
      </w:pPr>
      <w:r>
        <w:rPr>
          <w:b/>
          <w:bCs/>
        </w:rPr>
        <w:t xml:space="preserve">merge</w:t>
      </w:r>
      <w:r>
        <w:t xml:space="preserve"> </w:t>
      </w:r>
      <w:r>
        <w:t xml:space="preserve">when an approach is validated to roll learnings into main</w:t>
      </w:r>
      <w:r>
        <w:t xml:space="preserve"> </w:t>
      </w:r>
      <w:r>
        <w:rPr>
          <w:rStyle w:val="FootnoteReference"/>
        </w:rPr>
        <w:footnoteReference w:id="90"/>
      </w:r>
      <w:r>
        <w:rPr>
          <w:rStyle w:val="FootnoteReference"/>
        </w:rPr>
        <w:footnoteReference w:id="91"/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Pre-push agent review (anti-slop hygiene)</w:t>
      </w:r>
    </w:p>
    <w:p>
      <w:pPr>
        <w:pStyle w:val="Compact"/>
        <w:numPr>
          <w:ilvl w:val="1"/>
          <w:numId w:val="1017"/>
        </w:numPr>
      </w:pPr>
      <w:r>
        <w:t xml:space="preserve">Armin Ronacher’s guidance if you let an agent commit: run</w:t>
      </w:r>
      <w:r>
        <w:t xml:space="preserve"> </w:t>
      </w:r>
      <w:r>
        <w:rPr>
          <w:rStyle w:val="VerbatimChar"/>
        </w:rPr>
        <w:t xml:space="preserve">/review</w:t>
      </w:r>
      <w:r>
        <w:t xml:space="preserve"> </w:t>
      </w:r>
      <w:r>
        <w:t xml:space="preserve">in a</w:t>
      </w:r>
      <w:r>
        <w:t xml:space="preserve"> </w:t>
      </w:r>
      <w:r>
        <w:rPr>
          <w:b/>
          <w:bCs/>
        </w:rPr>
        <w:t xml:space="preserve">fresh empty session locally</w:t>
      </w:r>
      <w:r>
        <w:t xml:space="preserve"> </w:t>
      </w:r>
      <w:r>
        <w:t xml:space="preserve">until the agent is satisfied</w:t>
      </w:r>
      <w:r>
        <w:t xml:space="preserve"> </w:t>
      </w:r>
      <w:r>
        <w:rPr>
          <w:i/>
          <w:iCs/>
        </w:rPr>
        <w:t xml:space="preserve">before</w:t>
      </w:r>
      <w:r>
        <w:t xml:space="preserve"> </w:t>
      </w:r>
      <w:r>
        <w:t xml:space="preserve">pushing; he calls PR machine-based review</w:t>
      </w:r>
      <w:r>
        <w:t xml:space="preserve"> </w:t>
      </w:r>
      <w:r>
        <w:t xml:space="preserve">“</w:t>
      </w:r>
      <w:r>
        <w:t xml:space="preserve">horrible</w:t>
      </w:r>
      <w:r>
        <w:t xml:space="preserve">”</w:t>
      </w:r>
      <w:r>
        <w:t xml:space="preserve"> </w:t>
      </w:r>
      <w:r>
        <w:t xml:space="preserve">as a default workflow</w:t>
      </w:r>
      <w:r>
        <w:t xml:space="preserve"> </w:t>
      </w:r>
      <w:r>
        <w:rPr>
          <w:rStyle w:val="FootnoteReference"/>
        </w:rPr>
        <w:footnoteReference w:id="92"/>
      </w:r>
      <w:r>
        <w:t xml:space="preserve">.</w:t>
      </w:r>
    </w:p>
    <w:bookmarkEnd w:id="94"/>
    <w:bookmarkStart w:id="107" w:name="people-to-watch"/>
    <w:p>
      <w:pPr>
        <w:pStyle w:val="Heading2"/>
      </w:pPr>
      <w:r>
        <w:t xml:space="preserve">👤 PEOPLE TO WATCH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Thibault Sottiaux (OpenAI Codex)</w:t>
      </w:r>
      <w:r>
        <w:t xml:space="preserve"> </w:t>
      </w:r>
      <w:r>
        <w:t xml:space="preserve">— high-signal details on supervision/UI, speed/latency engineering, and where the bottleneck is moving (verification)</w:t>
      </w:r>
      <w:r>
        <w:t xml:space="preserve"> </w:t>
      </w:r>
      <w:r>
        <w:rPr>
          <w:rStyle w:val="FootnoteReference"/>
        </w:rPr>
        <w:footnoteReference w:id="95"/>
      </w:r>
      <w:r>
        <w:rPr>
          <w:rStyle w:val="FootnoteReference"/>
        </w:rPr>
        <w:footnoteReference w:id="96"/>
      </w:r>
      <w:r>
        <w:rPr>
          <w:rStyle w:val="FootnoteReference"/>
        </w:rPr>
        <w:footnoteReference w:id="97"/>
      </w:r>
      <w:r>
        <w:t xml:space="preserve">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Romain Huet + Alexander Embiricos (OpenAI)</w:t>
      </w:r>
      <w:r>
        <w:t xml:space="preserve"> </w:t>
      </w:r>
      <w:r>
        <w:t xml:space="preserve">— consistently pointing builders to the practical integration surface: the open-source Codex agent +</w:t>
      </w:r>
      <w:r>
        <w:t xml:space="preserve"> </w:t>
      </w:r>
      <w:r>
        <w:rPr>
          <w:b/>
          <w:bCs/>
        </w:rPr>
        <w:t xml:space="preserve">app-server</w:t>
      </w:r>
      <w:r>
        <w:t xml:space="preserve"> </w:t>
      </w:r>
      <w:r>
        <w:t xml:space="preserve">you can embed in products</w:t>
      </w:r>
      <w:r>
        <w:t xml:space="preserve"> </w:t>
      </w:r>
      <w:r>
        <w:rPr>
          <w:rStyle w:val="FootnoteReference"/>
        </w:rPr>
        <w:footnoteReference w:id="98"/>
      </w:r>
      <w:r>
        <w:rPr>
          <w:rStyle w:val="FootnoteReference"/>
        </w:rPr>
        <w:footnoteReference w:id="99"/>
      </w:r>
      <w:r>
        <w:t xml:space="preserve">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Simon Willison</w:t>
      </w:r>
      <w:r>
        <w:t xml:space="preserve"> </w:t>
      </w:r>
      <w:r>
        <w:t xml:space="preserve">— good benchmark hygiene + practical browser automation: used</w:t>
      </w:r>
      <w:r>
        <w:t xml:space="preserve"> </w:t>
      </w:r>
      <w:r>
        <w:rPr>
          <w:b/>
          <w:bCs/>
        </w:rPr>
        <w:t xml:space="preserve">Claude for Chrome</w:t>
      </w:r>
      <w:r>
        <w:t xml:space="preserve"> </w:t>
      </w:r>
      <w:r>
        <w:t xml:space="preserve">to inject JS into SWE-bench charts to render percentage labels for clearer screenshots</w:t>
      </w:r>
      <w:r>
        <w:t xml:space="preserve"> </w:t>
      </w:r>
      <w:r>
        <w:rPr>
          <w:rStyle w:val="FootnoteReference"/>
        </w:rPr>
        <w:footnoteReference w:id="100"/>
      </w:r>
      <w:r>
        <w:rPr>
          <w:rStyle w:val="FootnoteReference"/>
        </w:rPr>
        <w:footnoteReference w:id="101"/>
      </w:r>
      <w:r>
        <w:t xml:space="preserve">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Jason Zhou</w:t>
      </w:r>
      <w:r>
        <w:t xml:space="preserve"> </w:t>
      </w:r>
      <w:r>
        <w:t xml:space="preserve">— clear demo of file-structured, cross-session memory and multi-agent</w:t>
      </w:r>
      <w:r>
        <w:t xml:space="preserve"> </w:t>
      </w:r>
      <w:r>
        <w:t xml:space="preserve">“</w:t>
      </w:r>
      <w:r>
        <w:t xml:space="preserve">shared context</w:t>
      </w:r>
      <w:r>
        <w:t xml:space="preserve">”</w:t>
      </w:r>
      <w:r>
        <w:t xml:space="preserve"> </w:t>
      </w:r>
      <w:r>
        <w:t xml:space="preserve">workflows using OneContext</w:t>
      </w:r>
      <w:r>
        <w:t xml:space="preserve"> </w:t>
      </w:r>
      <w:r>
        <w:rPr>
          <w:rStyle w:val="FootnoteReference"/>
        </w:rPr>
        <w:footnoteReference w:id="102"/>
      </w:r>
      <w:r>
        <w:rPr>
          <w:rStyle w:val="FootnoteReference"/>
        </w:rPr>
        <w:footnoteReference w:id="103"/>
      </w:r>
      <w:r>
        <w:t xml:space="preserve">.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Addy Osmani</w:t>
      </w:r>
      <w:r>
        <w:t xml:space="preserve"> </w:t>
      </w:r>
      <w:r>
        <w:t xml:space="preserve">— pragmatic enterprise framing: the hard problem is</w:t>
      </w:r>
      <w:r>
        <w:t xml:space="preserve"> </w:t>
      </w:r>
      <w:r>
        <w:rPr>
          <w:b/>
          <w:bCs/>
        </w:rPr>
        <w:t xml:space="preserve">coordination</w:t>
      </w:r>
      <w:r>
        <w:t xml:space="preserve">, not generation; focus on orchestrating a modest set of agents with control/traceability</w:t>
      </w:r>
      <w:r>
        <w:t xml:space="preserve"> </w:t>
      </w:r>
      <w:r>
        <w:rPr>
          <w:rStyle w:val="FootnoteReference"/>
        </w:rPr>
        <w:footnoteReference w:id="104"/>
      </w:r>
      <w:r>
        <w:rPr>
          <w:rStyle w:val="FootnoteReference"/>
        </w:rPr>
        <w:footnoteReference w:id="106"/>
      </w:r>
      <w:r>
        <w:t xml:space="preserve">.</w:t>
      </w:r>
    </w:p>
    <w:bookmarkEnd w:id="107"/>
    <w:bookmarkStart w:id="118" w:name="watch-listen"/>
    <w:p>
      <w:pPr>
        <w:pStyle w:val="Heading2"/>
      </w:pPr>
      <w:r>
        <w:t xml:space="preserve">🎬 WATCH &amp; LISTEN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Codex app: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verification is the bottleneck now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+ evidence-backed PRs</w:t>
      </w:r>
      <w:r>
        <w:t xml:space="preserve"> </w:t>
      </w:r>
      <w:r>
        <w:t xml:space="preserve">(~36:41–41:19)</w:t>
      </w:r>
    </w:p>
    <w:p>
      <w:pPr>
        <w:pStyle w:val="Compact"/>
        <w:numPr>
          <w:ilvl w:val="1"/>
          <w:numId w:val="1020"/>
        </w:numPr>
      </w:pPr>
      <w:r>
        <w:t xml:space="preserve">Hook: why reviewers are drowning in generated code, and what</w:t>
      </w:r>
      <w:r>
        <w:t xml:space="preserve"> </w:t>
      </w:r>
      <w:r>
        <w:t xml:space="preserve">“</w:t>
      </w:r>
      <w:r>
        <w:t xml:space="preserve">reviewing evidence</w:t>
      </w:r>
      <w:r>
        <w:t xml:space="preserve">”</w:t>
      </w:r>
      <w:r>
        <w:t xml:space="preserve"> </w:t>
      </w:r>
      <w:r>
        <w:t xml:space="preserve">looks like (agents click through flows and attach screenshots to PRs).</w:t>
      </w:r>
      <w:r>
        <w:t xml:space="preserve"> </w:t>
      </w:r>
      <w:r>
        <w:rPr>
          <w:rStyle w:val="FootnoteReference"/>
        </w:rPr>
        <w:footnoteReference w:id="108"/>
      </w:r>
    </w:p>
    <w:p>
      <w:pPr>
        <w:pStyle w:val="FirstParagraph"/>
      </w:pPr>
      <w:hyperlink r:id="rId112">
        <w:r>
          <w:drawing>
            <wp:inline>
              <wp:extent cx="5334000" cy="4000500"/>
              <wp:effectExtent b="0" l="0" r="0" t="0"/>
              <wp:docPr descr="OpenAI’s Codex: This Model Is So Fast It Changes How You Code" title="" id="110" name="Picture"/>
              <a:graphic>
                <a:graphicData uri="http://schemas.openxmlformats.org/drawingml/2006/picture">
                  <pic:pic>
                    <pic:nvPicPr>
                      <pic:cNvPr descr="https://img.youtube.com/vi/AFHiiL-ZKms/hqdefault.jpg" id="11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0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/>
          <w:iCs/>
        </w:rPr>
        <w:t xml:space="preserve">OpenAI’s Codex: This Model Is So Fast It Changes How You Code (36:41)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OneContext demo: cross-folder memory + stop-hook summaries</w:t>
      </w:r>
      <w:r>
        <w:t xml:space="preserve"> </w:t>
      </w:r>
      <w:r>
        <w:t xml:space="preserve">(~10:35–14:21)</w:t>
      </w:r>
    </w:p>
    <w:p>
      <w:pPr>
        <w:pStyle w:val="Compact"/>
        <w:numPr>
          <w:ilvl w:val="1"/>
          <w:numId w:val="1022"/>
        </w:numPr>
      </w:pPr>
      <w:r>
        <w:t xml:space="preserve">Hook: a concrete walkthrough of persistent memory across sessions/agents, with post-session logging + summarization via a</w:t>
      </w:r>
      <w:r>
        <w:t xml:space="preserve"> </w:t>
      </w:r>
      <w:r>
        <w:t xml:space="preserve">“</w:t>
      </w:r>
      <w:r>
        <w:t xml:space="preserve">stop hook.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3"/>
      </w:r>
    </w:p>
    <w:p>
      <w:pPr>
        <w:pStyle w:val="FirstParagraph"/>
      </w:pPr>
      <w:hyperlink r:id="rId117">
        <w:r>
          <w:drawing>
            <wp:inline>
              <wp:extent cx="5334000" cy="4000500"/>
              <wp:effectExtent b="0" l="0" r="0" t="0"/>
              <wp:docPr descr="Agent memory resolved?" title="" id="115" name="Picture"/>
              <a:graphic>
                <a:graphicData uri="http://schemas.openxmlformats.org/drawingml/2006/picture">
                  <pic:pic>
                    <pic:nvPicPr>
                      <pic:cNvPr descr="https://img.youtube.com/vi/pAIF7vZm5k0/hqdefault.jpg" id="11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/>
          <w:iCs/>
        </w:rPr>
        <w:t xml:space="preserve">Agent memory resolved? (10:35)</w:t>
      </w:r>
    </w:p>
    <w:bookmarkEnd w:id="118"/>
    <w:bookmarkStart w:id="127" w:name="projects-repos"/>
    <w:p>
      <w:pPr>
        <w:pStyle w:val="Heading2"/>
      </w:pPr>
      <w:r>
        <w:t xml:space="preserve">📊 PROJECTS &amp; REPOS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openai/codex (open source)</w:t>
      </w:r>
      <w:r>
        <w:t xml:space="preserve"> </w:t>
      </w:r>
      <w:r>
        <w:t xml:space="preserve">— repo link: https://github.com/openai/codex</w:t>
      </w:r>
      <w:r>
        <w:t xml:space="preserve"> </w:t>
      </w:r>
      <w:r>
        <w:rPr>
          <w:rStyle w:val="FootnoteReference"/>
        </w:rPr>
        <w:footnoteReference w:id="119"/>
      </w:r>
      <w:r>
        <w:t xml:space="preserve">.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Codex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app-server</w:t>
      </w:r>
      <w:r>
        <w:rPr>
          <w:b/>
          <w:bCs/>
        </w:rPr>
        <w:t xml:space="preserve"> </w:t>
      </w:r>
      <w:r>
        <w:rPr>
          <w:b/>
          <w:bCs/>
        </w:rPr>
        <w:t xml:space="preserve">docs</w:t>
      </w:r>
      <w:r>
        <w:t xml:space="preserve"> </w:t>
      </w:r>
      <w:r>
        <w:t xml:space="preserve">— integration entrypoint for embedding Codex into your app: https://developers.openai.com/codex/app-server/</w:t>
      </w:r>
      <w:r>
        <w:t xml:space="preserve"> </w:t>
      </w:r>
      <w:r>
        <w:rPr>
          <w:rStyle w:val="FootnoteReference"/>
        </w:rPr>
        <w:footnoteReference w:id="120"/>
      </w:r>
      <w:r>
        <w:t xml:space="preserve">.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OneContext CLI</w:t>
      </w:r>
      <w:r>
        <w:t xml:space="preserve"> </w:t>
      </w:r>
      <w:r>
        <w:t xml:space="preserve">— installable tool packaging the Git-style context controller approach (</w:t>
      </w:r>
      <w:r>
        <w:rPr>
          <w:rStyle w:val="VerbatimChar"/>
        </w:rPr>
        <w:t xml:space="preserve">npm i -g onecontext-ai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121"/>
      </w:r>
      <w:r>
        <w:t xml:space="preserve">.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mini-swe-agent prompts</w:t>
      </w:r>
      <w:r>
        <w:t xml:space="preserve"> </w:t>
      </w:r>
      <w:r>
        <w:t xml:space="preserve">— SWE-bench harness prompts are public: https://github.com/SWE-agent/mini-swe-agent/blob/v2.2.1/src/minisweagent/config/benchmarks/swebench.yaml</w:t>
      </w:r>
      <w:r>
        <w:t xml:space="preserve"> </w:t>
      </w:r>
      <w:r>
        <w:rPr>
          <w:rStyle w:val="FootnoteReference"/>
        </w:rPr>
        <w:footnoteReference w:id="122"/>
      </w:r>
      <w:r>
        <w:t xml:space="preserve">.</w:t>
      </w:r>
    </w:p>
    <w:p>
      <w:pPr>
        <w:pStyle w:val="FirstParagraph"/>
      </w:pPr>
      <w:r>
        <w:t xml:space="preserve">—</w:t>
      </w:r>
      <w:r>
        <w:t xml:space="preserve"> </w:t>
      </w:r>
      <w:r>
        <w:rPr>
          <w:b/>
          <w:bCs/>
        </w:rPr>
        <w:t xml:space="preserve">Editorial take:</w:t>
      </w:r>
      <w:r>
        <w:t xml:space="preserve"> </w:t>
      </w:r>
      <w:r>
        <w:t xml:space="preserve">Agents are getting fast enough that</w:t>
      </w:r>
      <w:r>
        <w:t xml:space="preserve"> </w:t>
      </w:r>
      <w:r>
        <w:rPr>
          <w:i/>
          <w:iCs/>
        </w:rPr>
        <w:t xml:space="preserve">shipping</w:t>
      </w:r>
      <w:r>
        <w:t xml:space="preserve"> </w:t>
      </w:r>
      <w:r>
        <w:t xml:space="preserve">is now gated by</w:t>
      </w:r>
      <w:r>
        <w:t xml:space="preserve"> </w:t>
      </w:r>
      <w:r>
        <w:rPr>
          <w:b/>
          <w:bCs/>
        </w:rPr>
        <w:t xml:space="preserve">verification, memory hygiene, and eval discipline</w:t>
      </w:r>
      <w:r>
        <w:t xml:space="preserve">—not raw code generation</w:t>
      </w:r>
      <w:r>
        <w:t xml:space="preserve"> </w:t>
      </w:r>
      <w:r>
        <w:rPr>
          <w:rStyle w:val="FootnoteReference"/>
        </w:rPr>
        <w:footnoteReference w:id="123"/>
      </w:r>
      <w:r>
        <w:rPr>
          <w:rStyle w:val="FootnoteReference"/>
        </w:rPr>
        <w:footnoteReference w:id="124"/>
      </w:r>
      <w:r>
        <w:rPr>
          <w:rStyle w:val="FootnoteReference"/>
        </w:rPr>
        <w:footnoteReference w:id="125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126" w:name="sources"/>
    <w:p>
      <w:pPr>
        <w:pStyle w:val="Heading3"/>
      </w:pPr>
      <w:r>
        <w:t xml:space="preserve">Sources</w:t>
      </w:r>
    </w:p>
    <w:p>
      <w:pPr>
        <w:pStyle w:val="Compact"/>
        <w:numPr>
          <w:ilvl w:val="0"/>
          <w:numId w:val="1024"/>
        </w:numPr>
      </w:pP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  <w:p>
      <w:pPr>
        <w:pStyle w:val="Compact"/>
        <w:numPr>
          <w:ilvl w:val="0"/>
          <w:numId w:val="1024"/>
        </w:numPr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romainhuet?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romainhuet?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embirico?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reach_vb?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40">
        <w:r>
          <w:rPr>
            <w:rStyle w:val="Hyperlink"/>
          </w:rPr>
          <w:t xml:space="preserve">SWE-bench February 2026 leaderboard update</w:t>
        </w:r>
      </w:hyperlink>
    </w:p>
    <w:p>
      <w:pPr>
        <w:pStyle w:val="Compact"/>
        <w:numPr>
          <w:ilvl w:val="0"/>
          <w:numId w:val="1024"/>
        </w:numPr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simonw?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51">
        <w:r>
          <w:rPr>
            <w:rStyle w:val="Hyperlink"/>
          </w:rPr>
          <w:t xml:space="preserve">Agent memory resolved?</w:t>
        </w:r>
      </w:hyperlink>
    </w:p>
    <w:p>
      <w:pPr>
        <w:pStyle w:val="Compact"/>
        <w:numPr>
          <w:ilvl w:val="0"/>
          <w:numId w:val="1024"/>
        </w:numPr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AnthropicAI?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AnthropicAI?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AnthropicAI?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AnthropicAI?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AnthropicAI?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LangChain?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70">
        <w:r>
          <w:rPr>
            <w:rStyle w:val="Hyperlink"/>
          </w:rPr>
          <w:t xml:space="preserve">monday Service + LangSmith: Building a Code-First Evaluation Strategy from Day 1</w:t>
        </w:r>
      </w:hyperlink>
    </w:p>
    <w:p>
      <w:pPr>
        <w:pStyle w:val="Compact"/>
        <w:numPr>
          <w:ilvl w:val="0"/>
          <w:numId w:val="1024"/>
        </w:numPr>
      </w:pP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mitsuhiko?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24"/>
        </w:numPr>
      </w:pPr>
      <w:hyperlink r:id="rId105">
        <w:r>
          <w:rPr>
            <w:rStyle w:val="Hyperlink"/>
          </w:rPr>
          <w:t xml:space="preserve">How to Build Reliable AI at Scale: Insights from Addy Osmani</w:t>
        </w:r>
      </w:hyperlink>
    </w:p>
    <w:bookmarkEnd w:id="126"/>
    <w:bookmarkEnd w:id="127"/>
    <w:bookmarkEnd w:id="1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romainhuet?</w:t>
        </w:r>
        <w:r>
          <w:rPr>
            <w:rStyle w:val="Hyperlink"/>
          </w:rPr>
          <w:t xml:space="preserve">)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romainhuet?</w:t>
        </w:r>
        <w:r>
          <w:rPr>
            <w:rStyle w:val="Hyperlink"/>
          </w:rPr>
          <w:t xml:space="preserve">)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embirico?</w:t>
        </w:r>
        <w:r>
          <w:rPr>
            <w:rStyle w:val="Hyperlink"/>
          </w:rPr>
          <w:t xml:space="preserve">)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reach_vb?</w:t>
        </w:r>
        <w:r>
          <w:rPr>
            <w:rStyle w:val="Hyperlink"/>
          </w:rPr>
          <w:t xml:space="preserve">)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romainhuet?</w:t>
        </w:r>
        <w:r>
          <w:rPr>
            <w:rStyle w:val="Hyperlink"/>
          </w:rPr>
          <w:t xml:space="preserve">)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SWE-bench February 2026 leaderboard update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SWE-bench February 2026 leaderboard update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SWE-bench February 2026 leaderboard update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SWE-bench February 2026 leaderboard update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simonw?</w:t>
        </w:r>
        <w:r>
          <w:rPr>
            <w:rStyle w:val="Hyperlink"/>
          </w:rPr>
          <w:t xml:space="preserve">)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AnthropicAI?</w:t>
        </w:r>
        <w:r>
          <w:rPr>
            <w:rStyle w:val="Hyperlink"/>
          </w:rPr>
          <w:t xml:space="preserve">)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AnthropicAI?</w:t>
        </w:r>
        <w:r>
          <w:rPr>
            <w:rStyle w:val="Hyperlink"/>
          </w:rPr>
          <w:t xml:space="preserve">)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AnthropicAI?</w:t>
        </w:r>
        <w:r>
          <w:rPr>
            <w:rStyle w:val="Hyperlink"/>
          </w:rPr>
          <w:t xml:space="preserve">)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AnthropicAI?</w:t>
        </w:r>
        <w:r>
          <w:rPr>
            <w:rStyle w:val="Hyperlink"/>
          </w:rPr>
          <w:t xml:space="preserve">)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AnthropicAI?</w:t>
        </w:r>
        <w:r>
          <w:rPr>
            <w:rStyle w:val="Hyperlink"/>
          </w:rPr>
          <w:t xml:space="preserve">)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LangChain?</w:t>
        </w:r>
        <w:r>
          <w:rPr>
            <w:rStyle w:val="Hyperlink"/>
          </w:rPr>
          <w:t xml:space="preserve">)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monday Service + LangSmith: Building a Code-First Evaluation Strategy from Day 1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monday Service + LangSmith: Building a Code-First Evaluation Strategy from Day 1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monday Service + LangSmith: Building a Code-First Evaluation Strategy from Day 1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mitsuhiko?</w:t>
        </w:r>
        <w:r>
          <w:rPr>
            <w:rStyle w:val="Hyperlink"/>
          </w:rPr>
          <w:t xml:space="preserve">)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romainhuet?</w:t>
        </w:r>
        <w:r>
          <w:rPr>
            <w:rStyle w:val="Hyperlink"/>
          </w:rPr>
          <w:t xml:space="preserve">)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embirico?</w:t>
        </w:r>
        <w:r>
          <w:rPr>
            <w:rStyle w:val="Hyperlink"/>
          </w:rPr>
          <w:t xml:space="preserve">)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SWE-bench February 2026 leaderboard update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SWE-bench February 2026 leaderboard update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How to Build Reliable AI at Scale: Insights from Addy Osmani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How to Build Reliable AI at Scale: Insights from Addy Osmani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romainhuet?</w:t>
        </w:r>
        <w:r>
          <w:rPr>
            <w:rStyle w:val="Hyperlink"/>
          </w:rPr>
          <w:t xml:space="preserve">)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romainhuet?</w:t>
        </w:r>
        <w:r>
          <w:rPr>
            <w:rStyle w:val="Hyperlink"/>
          </w:rPr>
          <w:t xml:space="preserve">)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SWE-bench February 2026 leaderboard update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OpenAI’s Codex: This Model Is So Fast It Changes How You Code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Agent memory resolved?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monday Service + LangSmith: Building a Code-First Evaluation Strategy from Day 1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09" Target="media/rId109.jpg" /><Relationship Type="http://schemas.openxmlformats.org/officeDocument/2006/relationships/image" Id="rId114" Target="media/rId114.jpg" /><Relationship Type="http://schemas.openxmlformats.org/officeDocument/2006/relationships/hyperlink" Id="rId70" Target="https://blog.langchain.com/customers-monday" TargetMode="External" /><Relationship Type="http://schemas.openxmlformats.org/officeDocument/2006/relationships/hyperlink" Id="rId40" Target="https://simonwillison.net/2026/Feb/19/swe-bench" TargetMode="External" /><Relationship Type="http://schemas.openxmlformats.org/officeDocument/2006/relationships/hyperlink" Id="rId21" Target="https://www.youtube.com/watch?v=AFHiiL-ZKms" TargetMode="External" /><Relationship Type="http://schemas.openxmlformats.org/officeDocument/2006/relationships/hyperlink" Id="rId105" Target="https://www.youtube.com/watch?v=EYoBEnyD86w" TargetMode="External" /><Relationship Type="http://schemas.openxmlformats.org/officeDocument/2006/relationships/hyperlink" Id="rId51" Target="https://www.youtube.com/watch?v=pAIF7vZm5k0" TargetMode="External" /><Relationship Type="http://schemas.openxmlformats.org/officeDocument/2006/relationships/hyperlink" Id="rId58" Target="https://x.com/AnthropicAI/status/2024210035480678724" TargetMode="External" /><Relationship Type="http://schemas.openxmlformats.org/officeDocument/2006/relationships/hyperlink" Id="rId60" Target="https://x.com/AnthropicAI/status/2024210038336999550" TargetMode="External" /><Relationship Type="http://schemas.openxmlformats.org/officeDocument/2006/relationships/hyperlink" Id="rId62" Target="https://x.com/AnthropicAI/status/2024210041684054238" TargetMode="External" /><Relationship Type="http://schemas.openxmlformats.org/officeDocument/2006/relationships/hyperlink" Id="rId64" Target="https://x.com/AnthropicAI/status/2024210044917891361" TargetMode="External" /><Relationship Type="http://schemas.openxmlformats.org/officeDocument/2006/relationships/hyperlink" Id="rId66" Target="https://x.com/AnthropicAI/status/2024210050718585017" TargetMode="External" /><Relationship Type="http://schemas.openxmlformats.org/officeDocument/2006/relationships/hyperlink" Id="rId68" Target="https://x.com/LangChain/status/2024180357457989887" TargetMode="External" /><Relationship Type="http://schemas.openxmlformats.org/officeDocument/2006/relationships/hyperlink" Id="rId47" Target="https://x.com/cursor_ai/status/2024222146642497713" TargetMode="External" /><Relationship Type="http://schemas.openxmlformats.org/officeDocument/2006/relationships/hyperlink" Id="rId49" Target="https://x.com/cursor_ai/status/2024222148009886099" TargetMode="External" /><Relationship Type="http://schemas.openxmlformats.org/officeDocument/2006/relationships/hyperlink" Id="rId35" Target="https://x.com/embirico/status/2024250565744873682" TargetMode="External" /><Relationship Type="http://schemas.openxmlformats.org/officeDocument/2006/relationships/hyperlink" Id="rId93" Target="https://x.com/mitsuhiko/status/2024236328724922460" TargetMode="External" /><Relationship Type="http://schemas.openxmlformats.org/officeDocument/2006/relationships/hyperlink" Id="rId37" Target="https://x.com/reach_vb/status/2024214999397208129" TargetMode="External" /><Relationship Type="http://schemas.openxmlformats.org/officeDocument/2006/relationships/hyperlink" Id="rId31" Target="https://x.com/romainhuet/status/2024251555999072564" TargetMode="External" /><Relationship Type="http://schemas.openxmlformats.org/officeDocument/2006/relationships/hyperlink" Id="rId33" Target="https://x.com/romainhuet/status/2024310968990519740" TargetMode="External" /><Relationship Type="http://schemas.openxmlformats.org/officeDocument/2006/relationships/hyperlink" Id="rId45" Target="https://x.com/simonw/status/2024234650772951110" TargetMode="External" /><Relationship Type="http://schemas.openxmlformats.org/officeDocument/2006/relationships/hyperlink" Id="rId112" Target="https://youtube.com/watch?v=AFHiiL-ZKms&amp;t=2201" TargetMode="External" /><Relationship Type="http://schemas.openxmlformats.org/officeDocument/2006/relationships/hyperlink" Id="rId117" Target="https://youtube.com/watch?v=pAIF7vZm5k0&amp;t=63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0" Target="https://blog.langchain.com/customers-monday" TargetMode="External" /><Relationship Type="http://schemas.openxmlformats.org/officeDocument/2006/relationships/hyperlink" Id="rId40" Target="https://simonwillison.net/2026/Feb/19/swe-bench" TargetMode="External" /><Relationship Type="http://schemas.openxmlformats.org/officeDocument/2006/relationships/hyperlink" Id="rId21" Target="https://www.youtube.com/watch?v=AFHiiL-ZKms" TargetMode="External" /><Relationship Type="http://schemas.openxmlformats.org/officeDocument/2006/relationships/hyperlink" Id="rId105" Target="https://www.youtube.com/watch?v=EYoBEnyD86w" TargetMode="External" /><Relationship Type="http://schemas.openxmlformats.org/officeDocument/2006/relationships/hyperlink" Id="rId51" Target="https://www.youtube.com/watch?v=pAIF7vZm5k0" TargetMode="External" /><Relationship Type="http://schemas.openxmlformats.org/officeDocument/2006/relationships/hyperlink" Id="rId58" Target="https://x.com/AnthropicAI/status/2024210035480678724" TargetMode="External" /><Relationship Type="http://schemas.openxmlformats.org/officeDocument/2006/relationships/hyperlink" Id="rId60" Target="https://x.com/AnthropicAI/status/2024210038336999550" TargetMode="External" /><Relationship Type="http://schemas.openxmlformats.org/officeDocument/2006/relationships/hyperlink" Id="rId62" Target="https://x.com/AnthropicAI/status/2024210041684054238" TargetMode="External" /><Relationship Type="http://schemas.openxmlformats.org/officeDocument/2006/relationships/hyperlink" Id="rId64" Target="https://x.com/AnthropicAI/status/2024210044917891361" TargetMode="External" /><Relationship Type="http://schemas.openxmlformats.org/officeDocument/2006/relationships/hyperlink" Id="rId66" Target="https://x.com/AnthropicAI/status/2024210050718585017" TargetMode="External" /><Relationship Type="http://schemas.openxmlformats.org/officeDocument/2006/relationships/hyperlink" Id="rId68" Target="https://x.com/LangChain/status/2024180357457989887" TargetMode="External" /><Relationship Type="http://schemas.openxmlformats.org/officeDocument/2006/relationships/hyperlink" Id="rId47" Target="https://x.com/cursor_ai/status/2024222146642497713" TargetMode="External" /><Relationship Type="http://schemas.openxmlformats.org/officeDocument/2006/relationships/hyperlink" Id="rId49" Target="https://x.com/cursor_ai/status/2024222148009886099" TargetMode="External" /><Relationship Type="http://schemas.openxmlformats.org/officeDocument/2006/relationships/hyperlink" Id="rId35" Target="https://x.com/embirico/status/2024250565744873682" TargetMode="External" /><Relationship Type="http://schemas.openxmlformats.org/officeDocument/2006/relationships/hyperlink" Id="rId93" Target="https://x.com/mitsuhiko/status/2024236328724922460" TargetMode="External" /><Relationship Type="http://schemas.openxmlformats.org/officeDocument/2006/relationships/hyperlink" Id="rId37" Target="https://x.com/reach_vb/status/2024214999397208129" TargetMode="External" /><Relationship Type="http://schemas.openxmlformats.org/officeDocument/2006/relationships/hyperlink" Id="rId31" Target="https://x.com/romainhuet/status/2024251555999072564" TargetMode="External" /><Relationship Type="http://schemas.openxmlformats.org/officeDocument/2006/relationships/hyperlink" Id="rId33" Target="https://x.com/romainhuet/status/2024310968990519740" TargetMode="External" /><Relationship Type="http://schemas.openxmlformats.org/officeDocument/2006/relationships/hyperlink" Id="rId45" Target="https://x.com/simonw/status/2024234650772951110" TargetMode="External" /><Relationship Type="http://schemas.openxmlformats.org/officeDocument/2006/relationships/hyperlink" Id="rId112" Target="https://youtube.com/watch?v=AFHiiL-ZKms&amp;t=2201" TargetMode="External" /><Relationship Type="http://schemas.openxmlformats.org/officeDocument/2006/relationships/hyperlink" Id="rId117" Target="https://youtube.com/watch?v=pAIF7vZm5k0&amp;t=63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becomes the bottleneck as Codex/Cursor/Claude push longer-running coding agents</dc:title>
  <dc:creator>Coding Agents Alpha Tracker</dc:creator>
  <cp:keywords/>
  <dcterms:created xsi:type="dcterms:W3CDTF">2026-02-19T22:32:22Z</dcterms:created>
  <dcterms:modified xsi:type="dcterms:W3CDTF">2026-02-19T22:32:22Z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2026-02-19</vt:lpwstr>
  </property>
</Properties>
</file>