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0.jpg" ContentType="image/jpeg"/>
  <Override PartName="/word/media/rId9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Verification-first coding agents: Composer 1.5, spec-driven dev, and why proof beats diffs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2026-03-07</w:t>
      </w:r>
    </w:p>
    <w:bookmarkStart w:id="125" w:name="X242cb6fb6d26de9bb3ce683ac93222f8583f745"/>
    <w:p>
      <w:pPr>
        <w:pStyle w:val="Heading1"/>
      </w:pPr>
      <w:r>
        <w:t xml:space="preserve">Verification-first coding agents: Composer 1.5, spec-driven dev, and why proof beats diffs</w:t>
      </w:r>
    </w:p>
    <w:p>
      <w:pPr>
        <w:pStyle w:val="FirstParagraph"/>
      </w:pPr>
      <w:r>
        <w:rPr>
          <w:iCs/>
          <w:i/>
        </w:rPr>
        <w:t xml:space="preserve">By Coding Agents Alpha Tracker • March 7, 2026</w:t>
      </w:r>
    </w:p>
    <w:p>
      <w:pPr>
        <w:pStyle w:val="BodyText"/>
      </w:pPr>
      <w:r>
        <w:t xml:space="preserve">Today’s signal across Cursor and Augment is clear: as agents generate bigger diffs, the winning teams shift from</w:t>
      </w:r>
      <w:r>
        <w:t xml:space="preserve"> </w:t>
      </w:r>
      <w:r>
        <w:t xml:space="preserve">“</w:t>
      </w:r>
      <w:r>
        <w:t xml:space="preserve">review code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verify outcomes</w:t>
      </w:r>
      <w:r>
        <w:t xml:space="preserve">”</w:t>
      </w:r>
      <w:r>
        <w:t xml:space="preserve"> </w:t>
      </w:r>
      <w:r>
        <w:t xml:space="preserve">with agent-run tests, spec-driven loops, and guardrails. Plus: Cursor’s Composer 1.5 details, Codex Security/OSS programs, and a concrete cloud-agent PR that shipped in 15 minutes.</w:t>
      </w:r>
    </w:p>
    <w:bookmarkStart w:id="24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rPr>
          <w:bCs/>
          <w:b/>
        </w:rPr>
        <w:t xml:space="preserve">Verification is becoming the core product feature of coding agents—not an afterthought.</w:t>
      </w:r>
      <w:r>
        <w:t xml:space="preserve"> </w:t>
      </w:r>
      <w:r>
        <w:t xml:space="preserve">Cursor argues cloud agents won’t scale until the model can</w:t>
      </w:r>
      <w:r>
        <w:t xml:space="preserve"> </w:t>
      </w:r>
      <w:r>
        <w:rPr>
          <w:iCs/>
          <w:i/>
        </w:rPr>
        <w:t xml:space="preserve">test its own code and prove it works</w:t>
      </w:r>
      <w:r>
        <w:t xml:space="preserve"> </w:t>
      </w:r>
      <w:r>
        <w:t xml:space="preserve">(otherwise you return to humans a giant diff they can’t trust)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Augment is converging on the same idea via</w:t>
      </w:r>
      <w:r>
        <w:t xml:space="preserve"> </w:t>
      </w:r>
      <w:r>
        <w:rPr>
          <w:bCs/>
          <w:b/>
        </w:rPr>
        <w:t xml:space="preserve">spec-driven development + a dedicated verification agent + robust CI/CD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</w:p>
    <w:bookmarkEnd w:id="24"/>
    <w:bookmarkStart w:id="55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— Composer 1.5 model release</w:t>
      </w:r>
    </w:p>
    <w:p>
      <w:pPr>
        <w:numPr>
          <w:ilvl w:val="1"/>
          <w:numId w:val="1002"/>
        </w:numPr>
        <w:pStyle w:val="Compact"/>
      </w:pPr>
      <w:r>
        <w:t xml:space="preserve">Cursor describes Composer 1.5 as</w:t>
      </w:r>
      <w:r>
        <w:t xml:space="preserve"> </w:t>
      </w:r>
      <w:r>
        <w:rPr>
          <w:bCs/>
          <w:b/>
        </w:rPr>
        <w:t xml:space="preserve">between Sonnet 4.5 and Opus 4.5</w:t>
      </w:r>
      <w:r>
        <w:t xml:space="preserve"> </w:t>
      </w:r>
      <w:r>
        <w:t xml:space="preserve">in capability, trained</w:t>
      </w:r>
      <w:r>
        <w:t xml:space="preserve"> </w:t>
      </w:r>
      <w:r>
        <w:t xml:space="preserve">“</w:t>
      </w:r>
      <w:r>
        <w:t xml:space="preserve">almost entirely</w:t>
      </w:r>
      <w:r>
        <w:t xml:space="preserve">”</w:t>
      </w:r>
      <w:r>
        <w:t xml:space="preserve"> </w:t>
      </w:r>
      <w:r>
        <w:t xml:space="preserve">with lots of RL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Design goal:</w:t>
      </w:r>
      <w:r>
        <w:t xml:space="preserve"> </w:t>
      </w:r>
      <w:r>
        <w:rPr>
          <w:bCs/>
          <w:b/>
        </w:rPr>
        <w:t xml:space="preserve">fast, engaging</w:t>
      </w:r>
      <w:r>
        <w:t xml:space="preserve"> </w:t>
      </w:r>
      <w:r>
        <w:t xml:space="preserve">usage—not</w:t>
      </w:r>
      <w:r>
        <w:t xml:space="preserve"> </w:t>
      </w:r>
      <w:r>
        <w:t xml:space="preserve">“</w:t>
      </w:r>
      <w:r>
        <w:t xml:space="preserve">press Enter and go to sleep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Integrated capabilities Cursor wants</w:t>
      </w:r>
      <w:r>
        <w:t xml:space="preserve"> </w:t>
      </w:r>
      <w:r>
        <w:rPr>
          <w:iCs/>
          <w:i/>
        </w:rPr>
        <w:t xml:space="preserve">inside</w:t>
      </w:r>
      <w:r>
        <w:t xml:space="preserve"> </w:t>
      </w:r>
      <w:r>
        <w:t xml:space="preserve">the model: better</w:t>
      </w:r>
      <w:r>
        <w:t xml:space="preserve"> </w:t>
      </w:r>
      <w:r>
        <w:rPr>
          <w:bCs/>
          <w:b/>
        </w:rPr>
        <w:t xml:space="preserve">GREP</w:t>
      </w:r>
      <w:r>
        <w:t xml:space="preserve">, strong</w:t>
      </w:r>
      <w:r>
        <w:t xml:space="preserve"> </w:t>
      </w:r>
      <w:r>
        <w:rPr>
          <w:bCs/>
          <w:b/>
        </w:rPr>
        <w:t xml:space="preserve">semantic search</w:t>
      </w:r>
      <w:r>
        <w:t xml:space="preserve"> </w:t>
      </w:r>
      <w:r>
        <w:t xml:space="preserve">for large codebases (finding the right place in</w:t>
      </w:r>
      <w:r>
        <w:t xml:space="preserve"> </w:t>
      </w:r>
      <w:r>
        <w:rPr>
          <w:bCs/>
          <w:b/>
        </w:rPr>
        <w:t xml:space="preserve">1–3 queries vs tens</w:t>
      </w:r>
      <w:r>
        <w:t xml:space="preserve">) and training toward</w:t>
      </w:r>
      <w:r>
        <w:t xml:space="preserve"> </w:t>
      </w:r>
      <w:r>
        <w:rPr>
          <w:bCs/>
          <w:b/>
        </w:rPr>
        <w:t xml:space="preserve">recursive subagents</w:t>
      </w:r>
      <w:r>
        <w:t xml:space="preserve"> </w:t>
      </w:r>
      <w:r>
        <w:t xml:space="preserve">to resolve most queries in</w:t>
      </w:r>
      <w:r>
        <w:t xml:space="preserve"> </w:t>
      </w:r>
      <w:r>
        <w:rPr>
          <w:bCs/>
          <w:b/>
        </w:rPr>
        <w:t xml:space="preserve">&lt;2–3 minutes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— Cloud agents need product step-changes, not UI polish</w:t>
      </w:r>
    </w:p>
    <w:p>
      <w:pPr>
        <w:numPr>
          <w:ilvl w:val="1"/>
          <w:numId w:val="1003"/>
        </w:numPr>
        <w:pStyle w:val="Compact"/>
      </w:pPr>
      <w:r>
        <w:t xml:space="preserve">Cursor says cloud agents today feel worse than local (slow setup/boot, hard to see changes) and highlights the core failure mode: you come back to a</w:t>
      </w:r>
      <w:r>
        <w:t xml:space="preserve"> </w:t>
      </w:r>
      <w:r>
        <w:rPr>
          <w:bCs/>
          <w:b/>
        </w:rPr>
        <w:t xml:space="preserve">1000-line diff</w:t>
      </w:r>
      <w:r>
        <w:t xml:space="preserve"> </w:t>
      </w:r>
      <w:r>
        <w:t xml:space="preserve">and it’s still your job to determine mergeability/correctness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Reported adoption signal: when the agent can</w:t>
      </w:r>
      <w:r>
        <w:t xml:space="preserve"> </w:t>
      </w:r>
      <w:r>
        <w:rPr>
          <w:bCs/>
          <w:b/>
        </w:rPr>
        <w:t xml:space="preserve">test its own code and prove correctness</w:t>
      </w:r>
      <w:r>
        <w:t xml:space="preserve">, they’ve seen cloud agent usage jump by</w:t>
      </w:r>
      <w:r>
        <w:t xml:space="preserve"> </w:t>
      </w:r>
      <w:r>
        <w:rPr>
          <w:bCs/>
          <w:b/>
        </w:rPr>
        <w:t xml:space="preserve">10×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Cursor’s mental model: cloud-agent compute is ~</w:t>
      </w:r>
      <w:r>
        <w:rPr>
          <w:bCs/>
          <w:b/>
        </w:rPr>
        <w:t xml:space="preserve">1%</w:t>
      </w:r>
      <w:r>
        <w:t xml:space="preserve"> </w:t>
      </w:r>
      <w:r>
        <w:t xml:space="preserve">of local today; getting to</w:t>
      </w:r>
      <w:r>
        <w:t xml:space="preserve"> </w:t>
      </w:r>
      <w:r>
        <w:rPr>
          <w:bCs/>
          <w:b/>
        </w:rPr>
        <w:t xml:space="preserve">90%</w:t>
      </w:r>
      <w:r>
        <w:t xml:space="preserve"> </w:t>
      </w:r>
      <w:r>
        <w:t xml:space="preserve">implies</w:t>
      </w:r>
      <w:r>
        <w:t xml:space="preserve"> </w:t>
      </w:r>
      <w:r>
        <w:rPr>
          <w:bCs/>
          <w:b/>
        </w:rPr>
        <w:t xml:space="preserve">1000×</w:t>
      </w:r>
      <w:r>
        <w:t xml:space="preserve"> </w:t>
      </w:r>
      <w:r>
        <w:t xml:space="preserve">growth, which likely requires step-function capability changes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 — Codex Security (research preview)</w:t>
      </w:r>
    </w:p>
    <w:p>
      <w:pPr>
        <w:numPr>
          <w:ilvl w:val="1"/>
          <w:numId w:val="1004"/>
        </w:numPr>
        <w:pStyle w:val="Compact"/>
      </w:pPr>
      <w:r>
        <w:t xml:space="preserve">OpenAI introduced</w:t>
      </w:r>
      <w:r>
        <w:t xml:space="preserve"> </w:t>
      </w:r>
      <w:r>
        <w:rPr>
          <w:bCs/>
          <w:b/>
        </w:rPr>
        <w:t xml:space="preserve">Codex Security</w:t>
      </w:r>
      <w:r>
        <w:t xml:space="preserve">, an application security agent that finds vulnerabilities, validates them, and proposes fixes for you to review and patch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Positioning: helps teams focus on</w:t>
      </w:r>
      <w:r>
        <w:t xml:space="preserve"> </w:t>
      </w:r>
      <w:r>
        <w:t xml:space="preserve">“</w:t>
      </w:r>
      <w:r>
        <w:t xml:space="preserve">vulnerabilities that matter</w:t>
      </w:r>
      <w:r>
        <w:t xml:space="preserve">”</w:t>
      </w:r>
      <w:r>
        <w:t xml:space="preserve"> </w:t>
      </w:r>
      <w:r>
        <w:t xml:space="preserve">and ship faster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Link: https://openai.com/index/codex-security-now-in-research-preview/</w:t>
      </w:r>
      <w:r>
        <w:t xml:space="preserve"> </w:t>
      </w:r>
      <w:r>
        <w:rPr>
          <w:rStyle w:val="FootnoteReference"/>
        </w:rPr>
        <w:footnoteReference w:id="34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 — Codex for Open Source</w:t>
      </w:r>
    </w:p>
    <w:p>
      <w:pPr>
        <w:numPr>
          <w:ilvl w:val="1"/>
          <w:numId w:val="1005"/>
        </w:numPr>
        <w:pStyle w:val="Compact"/>
      </w:pPr>
      <w:r>
        <w:t xml:space="preserve">New program aimed at OSS maintainers: use Codex to</w:t>
      </w:r>
      <w:r>
        <w:t xml:space="preserve"> </w:t>
      </w:r>
      <w:r>
        <w:rPr>
          <w:bCs/>
          <w:b/>
        </w:rPr>
        <w:t xml:space="preserve">review code, understand large codebases, and strengthen security coverage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Apply: https://openai.com/form/codex-for-oss/</w:t>
      </w:r>
      <w:r>
        <w:t xml:space="preserve"> </w:t>
      </w:r>
      <w:r>
        <w:rPr>
          <w:rStyle w:val="FootnoteReference"/>
        </w:rPr>
        <w:footnoteReference w:id="37"/>
      </w:r>
    </w:p>
    <w:p>
      <w:pPr>
        <w:numPr>
          <w:ilvl w:val="1"/>
          <w:numId w:val="1005"/>
        </w:numPr>
        <w:pStyle w:val="Compact"/>
      </w:pPr>
      <w:r>
        <w:t xml:space="preserve">Docs: http://developers.openai.com/codex/community/codex-for-oss</w:t>
      </w:r>
      <w:r>
        <w:t xml:space="preserve"> </w:t>
      </w:r>
      <w:r>
        <w:rPr>
          <w:rStyle w:val="FootnoteReference"/>
        </w:rPr>
        <w:footnoteReference w:id="39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usage/cost notes (from</w:t>
      </w:r>
      <w:r>
        <w:rPr>
          <w:bCs/>
          <w:b/>
        </w:rPr>
        <w:t xml:space="preserve"> </w:t>
      </w:r>
      <w:r>
        <w:rPr>
          <w:bCs/>
          <w:b/>
        </w:rPr>
        <w:t xml:space="preserve">@thsottiaux</w:t>
      </w:r>
      <w:r>
        <w:rPr>
          <w:bCs/>
          <w:b/>
        </w:rPr>
        <w:t xml:space="preserve">)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/fast mode</w:t>
      </w:r>
      <w:r>
        <w:t xml:space="preserve">:</w:t>
      </w:r>
      <w:r>
        <w:t xml:space="preserve"> </w:t>
      </w:r>
      <w:r>
        <w:rPr>
          <w:bCs/>
          <w:b/>
        </w:rPr>
        <w:t xml:space="preserve">1.5× inference speed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2× token usage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GPT-5.4</w:t>
      </w:r>
      <w:r>
        <w:t xml:space="preserve"> </w:t>
      </w:r>
      <w:r>
        <w:t xml:space="preserve">token cost is advertised as</w:t>
      </w:r>
      <w:r>
        <w:t xml:space="preserve"> </w:t>
      </w:r>
      <w:r>
        <w:rPr>
          <w:bCs/>
          <w:b/>
        </w:rPr>
        <w:t xml:space="preserve">30% higher</w:t>
      </w:r>
      <w:r>
        <w:t xml:space="preserve"> </w:t>
      </w:r>
      <w:r>
        <w:t xml:space="preserve">than GPT‑5.2 and GPT‑5.3‑Codex; they say they’re not seeing evidence of additional excess usage beyond that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Investigating reports of unexpected higher drain when</w:t>
      </w:r>
      <w:r>
        <w:t xml:space="preserve"> </w:t>
      </w:r>
      <w:r>
        <w:rPr>
          <w:bCs/>
          <w:b/>
        </w:rPr>
        <w:t xml:space="preserve">WebSockets</w:t>
      </w:r>
      <w:r>
        <w:t xml:space="preserve"> </w:t>
      </w:r>
      <w:r>
        <w:t xml:space="preserve">are enabled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GPT-5.4 capability anecdotes worth calibrating against your own evals</w:t>
      </w:r>
    </w:p>
    <w:p>
      <w:pPr>
        <w:numPr>
          <w:ilvl w:val="1"/>
          <w:numId w:val="1007"/>
        </w:numPr>
        <w:pStyle w:val="Compact"/>
      </w:pPr>
      <w:r>
        <w:t xml:space="preserve">Mark Chen: giving GPT‑5.4 a raw dump of</w:t>
      </w:r>
      <w:r>
        <w:t xml:space="preserve"> </w:t>
      </w:r>
      <w:r>
        <w:rPr>
          <w:bCs/>
          <w:b/>
        </w:rPr>
        <w:t xml:space="preserve">GPT‑2 weights</w:t>
      </w:r>
      <w:r>
        <w:t xml:space="preserve"> </w:t>
      </w:r>
      <w:r>
        <w:t xml:space="preserve">and asking for a</w:t>
      </w:r>
      <w:r>
        <w:t xml:space="preserve"> </w:t>
      </w:r>
      <w:r>
        <w:rPr>
          <w:bCs/>
          <w:b/>
        </w:rPr>
        <w:t xml:space="preserve">&lt;5000 byte C program</w:t>
      </w:r>
      <w:r>
        <w:t xml:space="preserve"> </w:t>
      </w:r>
      <w:r>
        <w:t xml:space="preserve">to run inference succeeded in</w:t>
      </w:r>
      <w:r>
        <w:t xml:space="preserve"> </w:t>
      </w:r>
      <w:r>
        <w:rPr>
          <w:bCs/>
          <w:b/>
        </w:rPr>
        <w:t xml:space="preserve">under 15 minutes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; a similar exercise in a previous paper took</w:t>
      </w:r>
      <w:r>
        <w:t xml:space="preserve"> </w:t>
      </w:r>
      <w:r>
        <w:rPr>
          <w:bCs/>
          <w:b/>
        </w:rPr>
        <w:t xml:space="preserve">days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QuixiAI (shared by Greg Brockman): GPT‑5.4 showed a boost in</w:t>
      </w:r>
      <w:r>
        <w:t xml:space="preserve"> </w:t>
      </w:r>
      <w:r>
        <w:t xml:space="preserve">“</w:t>
      </w:r>
      <w:r>
        <w:t xml:space="preserve">understanding and ability to solve problems quickly and completely,</w:t>
      </w:r>
      <w:r>
        <w:t xml:space="preserve">”</w:t>
      </w:r>
      <w:r>
        <w:t xml:space="preserve"> </w:t>
      </w:r>
      <w:r>
        <w:t xml:space="preserve">including building a compiler where</w:t>
      </w:r>
      <w:r>
        <w:t xml:space="preserve"> </w:t>
      </w:r>
      <w:r>
        <w:rPr>
          <w:bCs/>
          <w:b/>
        </w:rPr>
        <w:t xml:space="preserve">Claude Code</w:t>
      </w:r>
      <w:r>
        <w:t xml:space="preserve"> </w:t>
      </w:r>
      <w:r>
        <w:t xml:space="preserve">was</w:t>
      </w:r>
      <w:r>
        <w:t xml:space="preserve"> </w:t>
      </w:r>
      <w:r>
        <w:t xml:space="preserve">“</w:t>
      </w:r>
      <w:r>
        <w:t xml:space="preserve">pretty much stumped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Hanson Wang: GPT‑5.4 and GPT‑5.3‑Codex perform strongly on</w:t>
      </w:r>
      <w:r>
        <w:t xml:space="preserve"> </w:t>
      </w:r>
      <w:r>
        <w:rPr>
          <w:bCs/>
          <w:b/>
        </w:rPr>
        <w:t xml:space="preserve">Terminal-Bench</w:t>
      </w:r>
      <w:r>
        <w:t xml:space="preserve">, with GPT‑5.4 solving a previously-unsolved hard task (</w:t>
      </w:r>
      <w:r>
        <w:t xml:space="preserve">“</w:t>
      </w:r>
      <w:r>
        <w:t xml:space="preserve">gpt2-codegolf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targeting anecdote (Claude/Opus)</w:t>
      </w:r>
    </w:p>
    <w:p>
      <w:pPr>
        <w:numPr>
          <w:ilvl w:val="1"/>
          <w:numId w:val="1008"/>
        </w:numPr>
        <w:pStyle w:val="Compact"/>
      </w:pPr>
      <w:r>
        <w:t xml:space="preserve">DHH: in a language shoot-out for Claude code generation,</w:t>
      </w:r>
      <w:r>
        <w:t xml:space="preserve"> </w:t>
      </w:r>
      <w:r>
        <w:rPr>
          <w:bCs/>
          <w:b/>
        </w:rPr>
        <w:t xml:space="preserve">Opus + Ruby</w:t>
      </w:r>
      <w:r>
        <w:t xml:space="preserve"> </w:t>
      </w:r>
      <w:r>
        <w:t xml:space="preserve">produced the best output (fewest tokens, fewest LOCs, fastest completion)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.</w:t>
      </w:r>
    </w:p>
    <w:bookmarkEnd w:id="55"/>
    <w:bookmarkStart w:id="80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Pattern: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Make the agent prove it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(cloud agents + CI)</w:t>
      </w:r>
    </w:p>
    <w:p>
      <w:pPr>
        <w:numPr>
          <w:ilvl w:val="1"/>
          <w:numId w:val="1010"/>
        </w:numPr>
        <w:pStyle w:val="Compact"/>
      </w:pPr>
      <w:r>
        <w:t xml:space="preserve">Cursor’s critique of today’s cloud agents: they hand you a huge diff and you still have to decide correctness—Cursor says that feels</w:t>
      </w:r>
      <w:r>
        <w:t xml:space="preserve"> </w:t>
      </w:r>
      <w:r>
        <w:t xml:space="preserve">“</w:t>
      </w:r>
      <w:r>
        <w:t xml:space="preserve">fundamentally wrong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.</w:t>
      </w:r>
    </w:p>
    <w:p>
      <w:pPr>
        <w:numPr>
          <w:ilvl w:val="1"/>
          <w:numId w:val="1010"/>
        </w:numPr>
        <w:pStyle w:val="Compact"/>
      </w:pPr>
      <w:r>
        <w:t xml:space="preserve">Cursor’s proposed step change: have the model</w:t>
      </w:r>
      <w:r>
        <w:t xml:space="preserve"> </w:t>
      </w:r>
      <w:r>
        <w:rPr>
          <w:bCs/>
          <w:b/>
        </w:rPr>
        <w:t xml:space="preserve">test its code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prove</w:t>
      </w:r>
      <w:r>
        <w:t xml:space="preserve"> </w:t>
      </w:r>
      <w:r>
        <w:t xml:space="preserve">it did the thing correctly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</w:t>
      </w:r>
    </w:p>
    <w:p>
      <w:pPr>
        <w:numPr>
          <w:ilvl w:val="1"/>
          <w:numId w:val="1010"/>
        </w:numPr>
        <w:pStyle w:val="Compact"/>
      </w:pPr>
      <w:r>
        <w:t xml:space="preserve">Practical implication for teams: invest in developer experience so agents can act like a new engineer who</w:t>
      </w:r>
      <w:r>
        <w:t xml:space="preserve"> </w:t>
      </w:r>
      <w:r>
        <w:rPr>
          <w:iCs/>
          <w:i/>
        </w:rPr>
        <w:t xml:space="preserve">doesn’t know tribal knowledge</w:t>
      </w:r>
      <w:r>
        <w:t xml:space="preserve"> </w:t>
      </w:r>
      <w:r>
        <w:t xml:space="preserve">(e.g., service boot order)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Spec-driven + verification agent + robust release machinery (Augment’s production loop)</w:t>
      </w:r>
    </w:p>
    <w:p>
      <w:pPr>
        <w:numPr>
          <w:ilvl w:val="1"/>
          <w:numId w:val="1011"/>
        </w:numPr>
        <w:pStyle w:val="Compact"/>
      </w:pPr>
      <w:r>
        <w:t xml:space="preserve">Augment describes going fully</w:t>
      </w:r>
      <w:r>
        <w:t xml:space="preserve"> </w:t>
      </w:r>
      <w:r>
        <w:rPr>
          <w:bCs/>
          <w:b/>
        </w:rPr>
        <w:t xml:space="preserve">spec-driven</w:t>
      </w:r>
      <w:r>
        <w:t xml:space="preserve">, with humans aligning across a</w:t>
      </w:r>
      <w:r>
        <w:t xml:space="preserve"> </w:t>
      </w:r>
      <w:r>
        <w:rPr>
          <w:bCs/>
          <w:b/>
        </w:rPr>
        <w:t xml:space="preserve">hierarchy of specs</w:t>
      </w:r>
      <w:r>
        <w:t xml:space="preserve">, then having agents refine toward implementation specs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</w:p>
    <w:p>
      <w:pPr>
        <w:numPr>
          <w:ilvl w:val="1"/>
          <w:numId w:val="1011"/>
        </w:numPr>
        <w:pStyle w:val="Compact"/>
      </w:pPr>
      <w:r>
        <w:t xml:space="preserve">They pair this with a dedicated</w:t>
      </w:r>
      <w:r>
        <w:t xml:space="preserve"> </w:t>
      </w:r>
      <w:r>
        <w:rPr>
          <w:bCs/>
          <w:b/>
        </w:rPr>
        <w:t xml:space="preserve">verification agent</w:t>
      </w:r>
      <w:r>
        <w:t xml:space="preserve"> </w:t>
      </w:r>
      <w:r>
        <w:t xml:space="preserve">plus CI/CD stages (unit/system tests, feature flags, canaries) and treat a robust pipeline as non-optional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</w:t>
      </w:r>
    </w:p>
    <w:p>
      <w:pPr>
        <w:numPr>
          <w:ilvl w:val="1"/>
          <w:numId w:val="1011"/>
        </w:numPr>
        <w:pStyle w:val="Compact"/>
      </w:pPr>
      <w:r>
        <w:t xml:space="preserve">Code review scaling idea: shift to agents reviewing most changes and escalating a smaller slice to humans (they describe aiming for agents to review ~80% and flag ~10–20% for humans, potentially shrinking further)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Agentic manual testing (new chapter from Simon Willison)</w:t>
      </w:r>
    </w:p>
    <w:p>
      <w:pPr>
        <w:numPr>
          <w:ilvl w:val="1"/>
          <w:numId w:val="1012"/>
        </w:numPr>
        <w:pStyle w:val="Compact"/>
      </w:pPr>
      <w:r>
        <w:t xml:space="preserve">Willison’s pattern: have agents</w:t>
      </w:r>
      <w:r>
        <w:t xml:space="preserve"> </w:t>
      </w:r>
      <w:r>
        <w:t xml:space="preserve">“</w:t>
      </w:r>
      <w:r>
        <w:t xml:space="preserve">manually</w:t>
      </w:r>
      <w:r>
        <w:t xml:space="preserve">”</w:t>
      </w:r>
      <w:r>
        <w:t xml:space="preserve"> </w:t>
      </w:r>
      <w:r>
        <w:t xml:space="preserve">try out the code to catch issues that automated tests miss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.</w:t>
      </w:r>
    </w:p>
    <w:p>
      <w:pPr>
        <w:numPr>
          <w:ilvl w:val="1"/>
          <w:numId w:val="1012"/>
        </w:numPr>
        <w:pStyle w:val="Compact"/>
      </w:pPr>
      <w:r>
        <w:t xml:space="preserve">Link: https://simonwillison.net/guides/agentic-engineering-patterns/agentic-manual-testing/</w:t>
      </w:r>
      <w:r>
        <w:t xml:space="preserve"> </w:t>
      </w:r>
      <w:r>
        <w:rPr>
          <w:rStyle w:val="FootnoteReference"/>
        </w:rPr>
        <w:footnoteReference w:id="64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Infra footgun reminder: don’t let agents free-fire Terraform</w:t>
      </w:r>
    </w:p>
    <w:p>
      <w:pPr>
        <w:numPr>
          <w:ilvl w:val="1"/>
          <w:numId w:val="1013"/>
        </w:numPr>
        <w:pStyle w:val="Compact"/>
      </w:pPr>
      <w:r>
        <w:t xml:space="preserve">A production incident report:</w:t>
      </w:r>
      <w:r>
        <w:t xml:space="preserve"> </w:t>
      </w:r>
      <w:r>
        <w:rPr>
          <w:bCs/>
          <w:b/>
        </w:rPr>
        <w:t xml:space="preserve">Claude Code</w:t>
      </w:r>
      <w:r>
        <w:t xml:space="preserve"> </w:t>
      </w:r>
      <w:r>
        <w:t xml:space="preserve">ran a Terraform command that wiped a production database, taking down the DataTalksClub course platform and deleting</w:t>
      </w:r>
      <w:r>
        <w:t xml:space="preserve"> </w:t>
      </w:r>
      <w:r>
        <w:rPr>
          <w:bCs/>
          <w:b/>
        </w:rPr>
        <w:t xml:space="preserve">2.5 years</w:t>
      </w:r>
      <w:r>
        <w:t xml:space="preserve"> </w:t>
      </w:r>
      <w:r>
        <w:t xml:space="preserve">of submissions; automated snapshots were also gone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p>
      <w:pPr>
        <w:numPr>
          <w:ilvl w:val="1"/>
          <w:numId w:val="1013"/>
        </w:numPr>
        <w:pStyle w:val="Compact"/>
      </w:pPr>
      <w:r>
        <w:t xml:space="preserve">Recovery note (via</w:t>
      </w:r>
      <w:r>
        <w:t xml:space="preserve"> </w:t>
      </w:r>
      <w:r>
        <w:t xml:space="preserve">@simonw</w:t>
      </w:r>
      <w:r>
        <w:t xml:space="preserve">):</w:t>
      </w:r>
      <w:r>
        <w:t xml:space="preserve"> </w:t>
      </w:r>
      <w:r>
        <w:t xml:space="preserve">“</w:t>
      </w:r>
      <w:r>
        <w:t xml:space="preserve">Thankfully… the full recovery took about</w:t>
      </w:r>
      <w:r>
        <w:t xml:space="preserve"> </w:t>
      </w:r>
      <w:r>
        <w:rPr>
          <w:bCs/>
          <w:b/>
        </w:rPr>
        <w:t xml:space="preserve">24 hours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.</w:t>
      </w:r>
    </w:p>
    <w:p>
      <w:pPr>
        <w:numPr>
          <w:ilvl w:val="1"/>
          <w:numId w:val="1013"/>
        </w:numPr>
        <w:pStyle w:val="Compact"/>
      </w:pPr>
      <w:r>
        <w:t xml:space="preserve">Full timeline + prevention changes (author): https://alexeyondata.substack.com/p/how-i-dropped-our-production-database</w:t>
      </w:r>
      <w:r>
        <w:t xml:space="preserve"> </w:t>
      </w:r>
      <w:r>
        <w:rPr>
          <w:rStyle w:val="FootnoteReference"/>
        </w:rPr>
        <w:footnoteReference w:id="69"/>
      </w:r>
      <w:r>
        <w:rPr>
          <w:rStyle w:val="FootnoteReference"/>
        </w:rPr>
        <w:footnoteReference w:id="70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Concrete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cloud agent shipped it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example (Cursor)</w:t>
      </w:r>
    </w:p>
    <w:p>
      <w:pPr>
        <w:numPr>
          <w:ilvl w:val="1"/>
          <w:numId w:val="1014"/>
        </w:numPr>
        <w:pStyle w:val="Compact"/>
      </w:pPr>
      <w:r>
        <w:t xml:space="preserve">Kent C. Dodds: Cursor cloud agents implemented a diff-view upgrade (line diffs →</w:t>
      </w:r>
      <w:r>
        <w:t xml:space="preserve"> </w:t>
      </w:r>
      <w:r>
        <w:rPr>
          <w:bCs/>
          <w:b/>
        </w:rPr>
        <w:t xml:space="preserve">character-level highlights</w:t>
      </w:r>
      <w:r>
        <w:t xml:space="preserve">) by migrating to diffs.com</w:t>
      </w:r>
      <w:r>
        <w:t xml:space="preserve"> </w:t>
      </w:r>
      <w:r>
        <w:rPr>
          <w:rStyle w:val="FootnoteReference"/>
        </w:rPr>
        <w:footnoteReference w:id="71"/>
      </w:r>
      <w:r>
        <w:rPr>
          <w:rStyle w:val="FootnoteReference"/>
        </w:rPr>
        <w:footnoteReference w:id="73"/>
      </w:r>
      <w:r>
        <w:t xml:space="preserve">.</w:t>
      </w:r>
    </w:p>
    <w:p>
      <w:pPr>
        <w:numPr>
          <w:ilvl w:val="1"/>
          <w:numId w:val="1014"/>
        </w:numPr>
        <w:pStyle w:val="Compact"/>
      </w:pPr>
      <w:r>
        <w:t xml:space="preserve">He reports: initial prompt +</w:t>
      </w:r>
      <w:r>
        <w:t xml:space="preserve"> </w:t>
      </w:r>
      <w:r>
        <w:rPr>
          <w:bCs/>
          <w:b/>
        </w:rPr>
        <w:t xml:space="preserve">7 follow-ups</w:t>
      </w:r>
      <w:r>
        <w:t xml:space="preserve">,</w:t>
      </w:r>
      <w:r>
        <w:t xml:space="preserve"> </w:t>
      </w:r>
      <w:r>
        <w:t xml:space="preserve">“</w:t>
      </w:r>
      <w:r>
        <w:t xml:space="preserve">robots</w:t>
      </w:r>
      <w:r>
        <w:t xml:space="preserve">”</w:t>
      </w:r>
      <w:r>
        <w:t xml:space="preserve"> </w:t>
      </w:r>
      <w:r>
        <w:t xml:space="preserve">reviewed/iterated, and he merged—</w:t>
      </w:r>
      <w:r>
        <w:rPr>
          <w:bCs/>
          <w:b/>
        </w:rPr>
        <w:t xml:space="preserve">15 minutes of his time</w:t>
      </w:r>
      <w:r>
        <w:t xml:space="preserve"> </w:t>
      </w:r>
      <w:r>
        <w:rPr>
          <w:rStyle w:val="FootnoteReference"/>
        </w:rPr>
        <w:footnoteReference w:id="75"/>
      </w:r>
      <w:r>
        <w:rPr>
          <w:rStyle w:val="FootnoteReference"/>
        </w:rPr>
        <w:footnoteReference w:id="76"/>
      </w:r>
      <w:r>
        <w:t xml:space="preserve">.</w:t>
      </w:r>
    </w:p>
    <w:p>
      <w:pPr>
        <w:numPr>
          <w:ilvl w:val="1"/>
          <w:numId w:val="1014"/>
        </w:numPr>
        <w:pStyle w:val="Compact"/>
      </w:pPr>
      <w:r>
        <w:t xml:space="preserve">PR: https://github.com/epicweb-dev/epicshop/pull/577</w:t>
      </w:r>
      <w:r>
        <w:t xml:space="preserve"> </w:t>
      </w:r>
      <w:r>
        <w:rPr>
          <w:rStyle w:val="FootnoteReference"/>
        </w:rPr>
        <w:footnoteReference w:id="77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 practical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build loop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doc you can copy-paste (Ben Tossell)</w:t>
      </w:r>
    </w:p>
    <w:p>
      <w:pPr>
        <w:numPr>
          <w:ilvl w:val="1"/>
          <w:numId w:val="1015"/>
        </w:numPr>
        <w:pStyle w:val="Compact"/>
      </w:pPr>
      <w:r>
        <w:t xml:space="preserve">Minimal process: create</w:t>
      </w:r>
      <w:r>
        <w:t xml:space="preserve"> </w:t>
      </w:r>
      <w:r>
        <w:rPr>
          <w:rStyle w:val="VerbatimChar"/>
        </w:rPr>
        <w:t xml:space="preserve">/spec/</w:t>
      </w:r>
      <w:r>
        <w:t xml:space="preserve"> </w:t>
      </w:r>
      <w:r>
        <w:t xml:space="preserve">folder, name specs (</w:t>
      </w:r>
      <w:r>
        <w:rPr>
          <w:rStyle w:val="VerbatimChar"/>
        </w:rPr>
        <w:t xml:space="preserve">00_spec1</w:t>
      </w:r>
      <w:r>
        <w:t xml:space="preserve">), track progress in</w:t>
      </w:r>
      <w:r>
        <w:t xml:space="preserve"> </w:t>
      </w:r>
      <w:r>
        <w:rPr>
          <w:rStyle w:val="VerbatimChar"/>
        </w:rPr>
        <w:t xml:space="preserve">progress.md</w:t>
      </w:r>
      <w:r>
        <w:t xml:space="preserve">, enforce a</w:t>
      </w:r>
      <w:r>
        <w:t xml:space="preserve"> </w:t>
      </w:r>
      <w:r>
        <w:rPr>
          <w:bCs/>
          <w:b/>
        </w:rPr>
        <w:t xml:space="preserve">test gate</w:t>
      </w:r>
      <w:r>
        <w:t xml:space="preserve">, dogfood in an agent-browser before handing you a URL,</w:t>
      </w:r>
      <w:r>
        <w:t xml:space="preserve"> </w:t>
      </w:r>
      <w:r>
        <w:t xml:space="preserve">“</w:t>
      </w:r>
      <w:r>
        <w:t xml:space="preserve">debug until green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</w:p>
    <w:bookmarkEnd w:id="80"/>
    <w:bookmarkStart w:id="89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Sualeh Asif (Cursor,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Lessons from Building Cursor</w:t>
      </w:r>
      <w:r>
        <w:rPr>
          <w:bCs/>
          <w:b/>
        </w:rPr>
        <w:t xml:space="preserve">”</w:t>
      </w:r>
      <w:r>
        <w:rPr>
          <w:bCs/>
          <w:b/>
        </w:rPr>
        <w:t xml:space="preserve">)</w:t>
      </w:r>
      <w:r>
        <w:t xml:space="preserve"> </w:t>
      </w:r>
      <w:r>
        <w:t xml:space="preserve">— unusually specific on what gets trained</w:t>
      </w:r>
      <w:r>
        <w:t xml:space="preserve"> </w:t>
      </w:r>
      <w:r>
        <w:rPr>
          <w:iCs/>
          <w:i/>
        </w:rPr>
        <w:t xml:space="preserve">into</w:t>
      </w:r>
      <w:r>
        <w:t xml:space="preserve"> </w:t>
      </w:r>
      <w:r>
        <w:t xml:space="preserve">the model (GREP/semantic search/subagents) and why cloud agents need proof, not diffs</w:t>
      </w:r>
      <w:r>
        <w:t xml:space="preserve"> </w:t>
      </w:r>
      <w:r>
        <w:rPr>
          <w:rStyle w:val="FootnoteReference"/>
        </w:rPr>
        <w:footnoteReference w:id="81"/>
      </w:r>
      <w:r>
        <w:rPr>
          <w:rStyle w:val="FootnoteReference"/>
        </w:rPr>
        <w:footnoteReference w:id="82"/>
      </w:r>
      <w:r>
        <w:t xml:space="preserve">.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Vinay (Augment)</w:t>
      </w:r>
      <w:r>
        <w:t xml:space="preserve"> </w:t>
      </w:r>
      <w:r>
        <w:t xml:space="preserve">— concrete production patterns for agent-first teams: spec hierarchies, verification agents, and treating CI/CD as the real safety net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.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keeps the conversation grounded in what actually catches bugs: agent-assisted</w:t>
      </w:r>
      <w:r>
        <w:t xml:space="preserve"> </w:t>
      </w:r>
      <w:r>
        <w:rPr>
          <w:iCs/>
          <w:i/>
        </w:rPr>
        <w:t xml:space="preserve">manual</w:t>
      </w:r>
      <w:r>
        <w:t xml:space="preserve"> </w:t>
      </w:r>
      <w:r>
        <w:t xml:space="preserve">testing as a complement to automated suites</w:t>
      </w:r>
      <w:r>
        <w:t xml:space="preserve"> </w:t>
      </w:r>
      <w:r>
        <w:rPr>
          <w:rStyle w:val="FootnoteReference"/>
        </w:rPr>
        <w:footnoteReference w:id="84"/>
      </w:r>
      <w:r>
        <w:t xml:space="preserve">.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Kent C. Dodds</w:t>
      </w:r>
      <w:r>
        <w:t xml:space="preserve"> </w:t>
      </w:r>
      <w:r>
        <w:t xml:space="preserve">— high-signal</w:t>
      </w:r>
      <w:r>
        <w:t xml:space="preserve"> </w:t>
      </w:r>
      <w:r>
        <w:t xml:space="preserve">“</w:t>
      </w:r>
      <w:r>
        <w:t xml:space="preserve">minutes-to-merge</w:t>
      </w:r>
      <w:r>
        <w:t xml:space="preserve">”</w:t>
      </w:r>
      <w:r>
        <w:t xml:space="preserve"> </w:t>
      </w:r>
      <w:r>
        <w:t xml:space="preserve">cloud agent workflow, with a real PR you can inspect</w:t>
      </w:r>
      <w:r>
        <w:t xml:space="preserve"> </w:t>
      </w:r>
      <w:r>
        <w:rPr>
          <w:rStyle w:val="FootnoteReference"/>
        </w:rPr>
        <w:footnoteReference w:id="85"/>
      </w:r>
      <w:r>
        <w:rPr>
          <w:rStyle w:val="FootnoteReference"/>
        </w:rPr>
        <w:footnoteReference w:id="86"/>
      </w:r>
      <w:r>
        <w:t xml:space="preserve">.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@thsottiaux</w:t>
      </w:r>
      <w:r>
        <w:rPr>
          <w:bCs/>
          <w:b/>
        </w:rPr>
        <w:t xml:space="preserve"> </w:t>
      </w:r>
      <w:r>
        <w:rPr>
          <w:bCs/>
          <w:b/>
        </w:rPr>
        <w:t xml:space="preserve">(Codex)</w:t>
      </w:r>
      <w:r>
        <w:t xml:space="preserve"> </w:t>
      </w:r>
      <w:r>
        <w:t xml:space="preserve">— practical cost/speed tradeoffs and ongoing investigation notes for usage drain with WebSockets enabled</w:t>
      </w:r>
      <w:r>
        <w:t xml:space="preserve"> </w:t>
      </w:r>
      <w:r>
        <w:rPr>
          <w:rStyle w:val="FootnoteReference"/>
        </w:rPr>
        <w:footnoteReference w:id="87"/>
      </w:r>
      <w:r>
        <w:rPr>
          <w:rStyle w:val="FootnoteReference"/>
        </w:rPr>
        <w:footnoteReference w:id="88"/>
      </w:r>
      <w:r>
        <w:t xml:space="preserve">.</w:t>
      </w:r>
    </w:p>
    <w:bookmarkEnd w:id="89"/>
    <w:bookmarkStart w:id="104" w:name="watch-listen"/>
    <w:p>
      <w:pPr>
        <w:pStyle w:val="Heading2"/>
      </w:pPr>
      <w:r>
        <w:t xml:space="preserve">🎬 WATCH &amp; LISTEN</w:t>
      </w:r>
    </w:p>
    <w:bookmarkStart w:id="94" w:name="X86dff4ac40304c7a228b03792ca1611d316c6c6"/>
    <w:p>
      <w:pPr>
        <w:pStyle w:val="Heading3"/>
      </w:pPr>
      <w:r>
        <w:t xml:space="preserve">1) Cursor: why cloud agents are stuck until they can test + prove correctness (05:42–10:13)</w:t>
      </w:r>
    </w:p>
    <w:p>
      <w:pPr>
        <w:pStyle w:val="FirstParagraph"/>
      </w:pPr>
      <w:r>
        <w:t xml:space="preserve">Hook: the</w:t>
      </w:r>
      <w:r>
        <w:t xml:space="preserve"> </w:t>
      </w:r>
      <w:r>
        <w:t xml:space="preserve">“</w:t>
      </w:r>
      <w:r>
        <w:t xml:space="preserve">1000-line diff</w:t>
      </w:r>
      <w:r>
        <w:t xml:space="preserve">”</w:t>
      </w:r>
      <w:r>
        <w:t xml:space="preserve"> </w:t>
      </w:r>
      <w:r>
        <w:t xml:space="preserve">problem, why it’s backwards to make humans certify correctness, and why agent-run testing is the step-change.</w:t>
      </w:r>
    </w:p>
    <w:p>
      <w:pPr>
        <w:pStyle w:val="BodyText"/>
      </w:pPr>
      <w:hyperlink r:id="rId93">
        <w:r>
          <w:drawing>
            <wp:inline>
              <wp:extent cx="5334000" cy="4000500"/>
              <wp:effectExtent b="0" l="0" r="0" t="0"/>
              <wp:docPr descr="Lessons from Building Cursor" title="" id="91" name="Picture"/>
              <a:graphic>
                <a:graphicData uri="http://schemas.openxmlformats.org/drawingml/2006/picture">
                  <pic:pic>
                    <pic:nvPicPr>
                      <pic:cNvPr descr="https://img.youtube.com/vi/dUMsFQ8y3gM/hqdefault.jpg" id="9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9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Lessons from Building Cursor (5:41)</w:t>
      </w:r>
    </w:p>
    <w:bookmarkEnd w:id="94"/>
    <w:bookmarkStart w:id="98" w:name="Xc451ae23db81406ad03b48ed56a3b3bb9948466"/>
    <w:p>
      <w:pPr>
        <w:pStyle w:val="Heading3"/>
      </w:pPr>
      <w:r>
        <w:t xml:space="preserve">2) Cursor: infra for long-running agents (minutes → days) + why Temporal-like systems matter (10:26–12:37)</w:t>
      </w:r>
    </w:p>
    <w:p>
      <w:pPr>
        <w:pStyle w:val="FirstParagraph"/>
      </w:pPr>
      <w:r>
        <w:t xml:space="preserve">Hook: agents break the old RPC mental model; monitoring and deploys get weird when tasks run for hours.</w:t>
      </w:r>
    </w:p>
    <w:p>
      <w:pPr>
        <w:pStyle w:val="BodyText"/>
      </w:pPr>
      <w:hyperlink r:id="rId97">
        <w:r>
          <w:drawing>
            <wp:inline>
              <wp:extent cx="5334000" cy="4000500"/>
              <wp:effectExtent b="0" l="0" r="0" t="0"/>
              <wp:docPr descr="Lessons from Building Cursor" title="" id="95" name="Picture"/>
              <a:graphic>
                <a:graphicData uri="http://schemas.openxmlformats.org/drawingml/2006/picture">
                  <pic:pic>
                    <pic:nvPicPr>
                      <pic:cNvPr descr="https://img.youtube.com/vi/dUMsFQ8y3gM/hqdefault.jpg" id="9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9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Lessons from Building Cursor (10:26)</w:t>
      </w:r>
    </w:p>
    <w:bookmarkEnd w:id="98"/>
    <w:bookmarkStart w:id="103" w:name="Xe49afa5cc79a6d7acea9c21096d8de3e42c0b7f"/>
    <w:p>
      <w:pPr>
        <w:pStyle w:val="Heading3"/>
      </w:pPr>
      <w:r>
        <w:t xml:space="preserve">3) Augment: spec-driven development + integrated verification loops (25:50–28:00)</w:t>
      </w:r>
    </w:p>
    <w:p>
      <w:pPr>
        <w:pStyle w:val="FirstParagraph"/>
      </w:pPr>
      <w:r>
        <w:t xml:space="preserve">Hook: how they structure specs so humans align first, agents implement next, and verification runs continuously (not</w:t>
      </w:r>
      <w:r>
        <w:t xml:space="preserve"> </w:t>
      </w:r>
      <w:r>
        <w:t xml:space="preserve">“</w:t>
      </w:r>
      <w:r>
        <w:t xml:space="preserve">later</w:t>
      </w:r>
      <w:r>
        <w:t xml:space="preserve">”</w:t>
      </w:r>
      <w:r>
        <w:t xml:space="preserve">).</w:t>
      </w:r>
    </w:p>
    <w:p>
      <w:pPr>
        <w:pStyle w:val="BodyText"/>
      </w:pPr>
      <w:hyperlink r:id="rId102">
        <w:r>
          <w:drawing>
            <wp:inline>
              <wp:extent cx="5334000" cy="4000500"/>
              <wp:effectExtent b="0" l="0" r="0" t="0"/>
              <wp:docPr descr="The Future Live | 03.06.26 | Guests from Augment Code, NEAR Protocol, and Modular!" title="" id="100" name="Picture"/>
              <a:graphic>
                <a:graphicData uri="http://schemas.openxmlformats.org/drawingml/2006/picture">
                  <pic:pic>
                    <pic:nvPicPr>
                      <pic:cNvPr descr="https://img.youtube.com/vi/dYk-bt9BFIs/hqdefault.jpg" id="10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9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Future Live | 03.06.26 | Guests from Augment Code, NEAR Protocol, and Modular! (25:49)</w:t>
      </w:r>
    </w:p>
    <w:bookmarkEnd w:id="103"/>
    <w:bookmarkEnd w:id="104"/>
    <w:bookmarkStart w:id="124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T3 Code</w:t>
      </w:r>
      <w:r>
        <w:t xml:space="preserve"> </w:t>
      </w:r>
      <w:r>
        <w:t xml:space="preserve">(open source, Codex-CLI-based) — released publicly by Theo; designed for running many agents in parallel, and explicitly motivated by CLI scaling limits</w:t>
      </w:r>
      <w:r>
        <w:t xml:space="preserve"> </w:t>
      </w:r>
      <w:r>
        <w:rPr>
          <w:rStyle w:val="FootnoteReference"/>
        </w:rPr>
        <w:footnoteReference w:id="105"/>
      </w:r>
      <w:r>
        <w:rPr>
          <w:rStyle w:val="FootnoteReference"/>
        </w:rPr>
        <w:footnoteReference w:id="107"/>
      </w:r>
      <w:r>
        <w:t xml:space="preserve">.</w:t>
      </w:r>
    </w:p>
    <w:p>
      <w:pPr>
        <w:numPr>
          <w:ilvl w:val="1"/>
          <w:numId w:val="1018"/>
        </w:numPr>
        <w:pStyle w:val="Compact"/>
      </w:pPr>
      <w:r>
        <w:t xml:space="preserve">Try: http://t3.codes or</w:t>
      </w:r>
      <w:r>
        <w:t xml:space="preserve"> </w:t>
      </w:r>
      <w:r>
        <w:rPr>
          <w:rStyle w:val="VerbatimChar"/>
        </w:rPr>
        <w:t xml:space="preserve">npx t3@alpha</w:t>
      </w:r>
      <w:r>
        <w:t xml:space="preserve"> </w:t>
      </w:r>
      <w:r>
        <w:rPr>
          <w:rStyle w:val="FootnoteReference"/>
        </w:rPr>
        <w:footnoteReference w:id="109"/>
      </w:r>
    </w:p>
    <w:p>
      <w:pPr>
        <w:numPr>
          <w:ilvl w:val="1"/>
          <w:numId w:val="1018"/>
        </w:numPr>
        <w:pStyle w:val="Compact"/>
      </w:pPr>
      <w:r>
        <w:t xml:space="preserve">Claude support via Agent SDK is planned; PR is ready but waiting on approval</w:t>
      </w:r>
      <w:r>
        <w:t xml:space="preserve"> </w:t>
      </w:r>
      <w:r>
        <w:rPr>
          <w:rStyle w:val="FootnoteReference"/>
        </w:rPr>
        <w:footnoteReference w:id="111"/>
      </w:r>
      <w:r>
        <w:t xml:space="preserve">.</w:t>
      </w:r>
    </w:p>
    <w:p>
      <w:pPr>
        <w:numPr>
          <w:ilvl w:val="1"/>
          <w:numId w:val="1018"/>
        </w:numPr>
        <w:pStyle w:val="Compact"/>
      </w:pPr>
      <w:r>
        <w:t xml:space="preserve">Adoption signal:</w:t>
      </w:r>
      <w:r>
        <w:t xml:space="preserve"> </w:t>
      </w:r>
      <w:r>
        <w:t xml:space="preserve">“</w:t>
      </w:r>
      <w:r>
        <w:t xml:space="preserve">Nearing</w:t>
      </w:r>
      <w:r>
        <w:t xml:space="preserve"> </w:t>
      </w:r>
      <w:r>
        <w:rPr>
          <w:bCs/>
          <w:b/>
        </w:rPr>
        <w:t xml:space="preserve">2,000 users in 1 hour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13"/>
      </w:r>
      <w:r>
        <w:t xml:space="preserve">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OpenAI: Harness Engineering write-up</w:t>
      </w:r>
      <w:r>
        <w:t xml:space="preserve"> </w:t>
      </w:r>
      <w:r>
        <w:t xml:space="preserve">—</w:t>
      </w:r>
      <w:r>
        <w:t xml:space="preserve"> </w:t>
      </w:r>
      <w:r>
        <w:t xml:space="preserve">“</w:t>
      </w:r>
      <w:r>
        <w:t xml:space="preserve">steering Codex</w:t>
      </w:r>
      <w:r>
        <w:t xml:space="preserve">”</w:t>
      </w:r>
      <w:r>
        <w:t xml:space="preserve"> </w:t>
      </w:r>
      <w:r>
        <w:t xml:space="preserve">to open/merge</w:t>
      </w:r>
      <w:r>
        <w:t xml:space="preserve"> </w:t>
      </w:r>
      <w:r>
        <w:rPr>
          <w:bCs/>
          <w:b/>
        </w:rPr>
        <w:t xml:space="preserve">1,500 PRs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zero manual coding</w:t>
      </w:r>
      <w:r>
        <w:t xml:space="preserve"> </w:t>
      </w:r>
      <w:r>
        <w:t xml:space="preserve">for a product used by hundreds of internal users</w:t>
      </w:r>
      <w:r>
        <w:t xml:space="preserve"> </w:t>
      </w:r>
      <w:r>
        <w:rPr>
          <w:rStyle w:val="FootnoteReference"/>
        </w:rPr>
        <w:footnoteReference w:id="115"/>
      </w:r>
      <w:r>
        <w:rPr>
          <w:rStyle w:val="FootnoteReference"/>
        </w:rPr>
        <w:footnoteReference w:id="117"/>
      </w:r>
      <w:r>
        <w:t xml:space="preserve">.</w:t>
      </w:r>
    </w:p>
    <w:p>
      <w:pPr>
        <w:numPr>
          <w:ilvl w:val="1"/>
          <w:numId w:val="1019"/>
        </w:numPr>
        <w:pStyle w:val="Compact"/>
      </w:pPr>
      <w:r>
        <w:t xml:space="preserve">https://openai.com/index/harness-engineering/</w:t>
      </w:r>
      <w:r>
        <w:t xml:space="preserve"> </w:t>
      </w:r>
      <w:r>
        <w:rPr>
          <w:rStyle w:val="FootnoteReference"/>
        </w:rPr>
        <w:footnoteReference w:id="118"/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Agentic manual testing (guide chapter)</w:t>
      </w:r>
      <w:r>
        <w:t xml:space="preserve"> </w:t>
      </w:r>
      <w:r>
        <w:t xml:space="preserve">— a reusable pattern, not a product launch: https://simonwillison.net/guides/agentic-engineering-patterns/agentic-manual-testing/</w:t>
      </w:r>
      <w:r>
        <w:t xml:space="preserve"> </w:t>
      </w:r>
      <w:r>
        <w:rPr>
          <w:rStyle w:val="FootnoteReference"/>
        </w:rPr>
        <w:footnoteReference w:id="119"/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Editorial take:</w:t>
      </w:r>
      <w:r>
        <w:t xml:space="preserve"> </w:t>
      </w:r>
      <w:r>
        <w:t xml:space="preserve">Output is cheap now; the real differentiator is</w:t>
      </w:r>
      <w:r>
        <w:t xml:space="preserve"> </w:t>
      </w:r>
      <w:r>
        <w:rPr>
          <w:bCs/>
          <w:b/>
        </w:rPr>
        <w:t xml:space="preserve">proof</w:t>
      </w:r>
      <w:r>
        <w:t xml:space="preserve">—verification loops, repo devex, and hard guardrails around what agents are allowed to break.</w:t>
      </w:r>
      <w:r>
        <w:t xml:space="preserve"> </w:t>
      </w:r>
      <w:r>
        <w:rPr>
          <w:rStyle w:val="FootnoteReference"/>
        </w:rPr>
        <w:footnoteReference w:id="120"/>
      </w:r>
      <w:r>
        <w:rPr>
          <w:rStyle w:val="FootnoteReference"/>
        </w:rPr>
        <w:footnoteReference w:id="121"/>
      </w:r>
      <w:r>
        <w:rPr>
          <w:rStyle w:val="FootnoteReference"/>
        </w:rPr>
        <w:footnoteReference w:id="122"/>
      </w:r>
    </w:p>
    <w:p>
      <w:r>
        <w:pict>
          <v:rect style="width:0;height:1.5pt" o:hralign="center" o:hrstd="t" o:hr="t"/>
        </w:pict>
      </w:r>
    </w:p>
    <w:bookmarkStart w:id="12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20"/>
        </w:numPr>
        <w:pStyle w:val="Compact"/>
      </w:pPr>
      <w:hyperlink r:id="rId21">
        <w:r>
          <w:rPr>
            <w:rStyle w:val="Hyperlink"/>
          </w:rPr>
          <w:t xml:space="preserve">Lessons from Building Cursor</w:t>
        </w:r>
      </w:hyperlink>
    </w:p>
    <w:p>
      <w:pPr>
        <w:numPr>
          <w:ilvl w:val="0"/>
          <w:numId w:val="1020"/>
        </w:numPr>
        <w:pStyle w:val="Compact"/>
      </w:pPr>
      <w:hyperlink r:id="rId23">
        <w:r>
          <w:rPr>
            <w:rStyle w:val="Hyperlink"/>
          </w:rPr>
          <w:t xml:space="preserve">The Future Live | 03.06.26 | Guests from Augment Code, NEAR Protocol, and Modular!</w:t>
        </w:r>
      </w:hyperlink>
    </w:p>
    <w:p>
      <w:pPr>
        <w:numPr>
          <w:ilvl w:val="0"/>
          <w:numId w:val="1020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20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20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20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20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20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20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@markchen90</w:t>
        </w:r>
      </w:hyperlink>
    </w:p>
    <w:p>
      <w:pPr>
        <w:numPr>
          <w:ilvl w:val="0"/>
          <w:numId w:val="1020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@QuixiAI</w:t>
        </w:r>
      </w:hyperlink>
    </w:p>
    <w:p>
      <w:pPr>
        <w:numPr>
          <w:ilvl w:val="0"/>
          <w:numId w:val="1020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@hansonwng</w:t>
        </w:r>
      </w:hyperlink>
    </w:p>
    <w:p>
      <w:pPr>
        <w:numPr>
          <w:ilvl w:val="0"/>
          <w:numId w:val="1020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20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20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@Al_Grigor</w:t>
        </w:r>
      </w:hyperlink>
    </w:p>
    <w:p>
      <w:pPr>
        <w:numPr>
          <w:ilvl w:val="0"/>
          <w:numId w:val="1020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20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20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20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@bentossell</w:t>
        </w:r>
      </w:hyperlink>
    </w:p>
    <w:p>
      <w:pPr>
        <w:numPr>
          <w:ilvl w:val="0"/>
          <w:numId w:val="1020"/>
        </w:numPr>
        <w:pStyle w:val="Compact"/>
      </w:pP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20"/>
        </w:numPr>
        <w:pStyle w:val="Compact"/>
      </w:pP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20"/>
        </w:numPr>
        <w:pStyle w:val="Compact"/>
      </w:pP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20"/>
        </w:numPr>
        <w:pStyle w:val="Compact"/>
      </w:pP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20"/>
        </w:numPr>
        <w:pStyle w:val="Compact"/>
      </w:pP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20"/>
        </w:numPr>
        <w:pStyle w:val="Compact"/>
      </w:pP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bookmarkEnd w:id="123"/>
    <w:bookmarkEnd w:id="124"/>
    <w:bookmarkEnd w:id="1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Lessons from Building Cursor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The Future Live | 03.06.26 | Guests from Augment Code, NEAR Protocol, and Modular!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Lessons from Building Cursor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Lessons from Building Cursor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Lessons from Building Cursor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Lessons from Building Cursor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Lessons from Building Cursor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Lessons from Building Cursor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@markchen90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@markchen90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@QuixiAI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@hansonwng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Lessons from Building Cursor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Lessons from Building Cursor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Lessons from Building Cursor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The Future Live | 03.06.26 | Guests from Augment Code, NEAR Protocol, and Modular!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The Future Live | 03.06.26 | Guests from Augment Code, NEAR Protocol, and Modular!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The Future Live | 03.06.26 | Guests from Augment Code, NEAR Protocol, and Modular!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@Al_Grigor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@Al_Grigor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@Al_Grigor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@bentossell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Lessons from Building Cursor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Lessons from Building Cursor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The Future Live | 03.06.26 | Guests from Augment Code, NEAR Protocol, and Modular!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Lessons from Building Cursor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The Future Live | 03.06.26 | Guests from Augment Code, NEAR Protocol, and Modular!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@Al_Grigor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90" Target="media/rId90.jpg" /><Relationship Type="http://schemas.openxmlformats.org/officeDocument/2006/relationships/image" Id="rId99" Target="media/rId99.jpg" /><Relationship Type="http://schemas.openxmlformats.org/officeDocument/2006/relationships/hyperlink" Id="rId21" Target="https://www.youtube.com/watch?v=dUMsFQ8y3gM" TargetMode="External" /><Relationship Type="http://schemas.openxmlformats.org/officeDocument/2006/relationships/hyperlink" Id="rId23" Target="https://www.youtube.com/watch?v=dYk-bt9BFIs" TargetMode="External" /><Relationship Type="http://schemas.openxmlformats.org/officeDocument/2006/relationships/hyperlink" Id="rId66" Target="https://x.com/Al_Grigor/status/2029889772181934425" TargetMode="External" /><Relationship Type="http://schemas.openxmlformats.org/officeDocument/2006/relationships/hyperlink" Id="rId116" Target="https://x.com/OpenAIDevs/status/2021637918847381656" TargetMode="External" /><Relationship Type="http://schemas.openxmlformats.org/officeDocument/2006/relationships/hyperlink" Id="rId32" Target="https://x.com/OpenAIDevs/status/2029983809652035758" TargetMode="External" /><Relationship Type="http://schemas.openxmlformats.org/officeDocument/2006/relationships/hyperlink" Id="rId36" Target="https://x.com/OpenAIDevs/status/2029998191043911955" TargetMode="External" /><Relationship Type="http://schemas.openxmlformats.org/officeDocument/2006/relationships/hyperlink" Id="rId50" Target="https://x.com/QuixiAI/status/2029673108207026669" TargetMode="External" /><Relationship Type="http://schemas.openxmlformats.org/officeDocument/2006/relationships/hyperlink" Id="rId79" Target="https://x.com/bentossell/status/2029892003853471870" TargetMode="External" /><Relationship Type="http://schemas.openxmlformats.org/officeDocument/2006/relationships/hyperlink" Id="rId54" Target="https://x.com/dhh/status/2029955480689270858" TargetMode="External" /><Relationship Type="http://schemas.openxmlformats.org/officeDocument/2006/relationships/hyperlink" Id="rId52" Target="https://x.com/hansonwng/status/2030002182226153858" TargetMode="External" /><Relationship Type="http://schemas.openxmlformats.org/officeDocument/2006/relationships/hyperlink" Id="rId74" Target="https://x.com/kentcdodds/status/2030033902203523167" TargetMode="External" /><Relationship Type="http://schemas.openxmlformats.org/officeDocument/2006/relationships/hyperlink" Id="rId72" Target="https://x.com/kentcdodds/status/2030034515507228930" TargetMode="External" /><Relationship Type="http://schemas.openxmlformats.org/officeDocument/2006/relationships/hyperlink" Id="rId47" Target="https://x.com/markchen90/status/2030151018164670486" TargetMode="External" /><Relationship Type="http://schemas.openxmlformats.org/officeDocument/2006/relationships/hyperlink" Id="rId38" Target="https://x.com/romainhuet/status/2030003126158381350" TargetMode="External" /><Relationship Type="http://schemas.openxmlformats.org/officeDocument/2006/relationships/hyperlink" Id="rId63" Target="https://x.com/simonw/status/2029962824731275718" TargetMode="External" /><Relationship Type="http://schemas.openxmlformats.org/officeDocument/2006/relationships/hyperlink" Id="rId68" Target="https://x.com/simonw/status/2030013978622222717" TargetMode="External" /><Relationship Type="http://schemas.openxmlformats.org/officeDocument/2006/relationships/hyperlink" Id="rId106" Target="https://x.com/theo/status/2030071716530245800" TargetMode="External" /><Relationship Type="http://schemas.openxmlformats.org/officeDocument/2006/relationships/hyperlink" Id="rId112" Target="https://x.com/theo/status/2030072127605592547" TargetMode="External" /><Relationship Type="http://schemas.openxmlformats.org/officeDocument/2006/relationships/hyperlink" Id="rId108" Target="https://x.com/theo/status/2030072662173831323" TargetMode="External" /><Relationship Type="http://schemas.openxmlformats.org/officeDocument/2006/relationships/hyperlink" Id="rId110" Target="https://x.com/theo/status/2030072765022359849" TargetMode="External" /><Relationship Type="http://schemas.openxmlformats.org/officeDocument/2006/relationships/hyperlink" Id="rId114" Target="https://x.com/theo/status/2030095672251412503" TargetMode="External" /><Relationship Type="http://schemas.openxmlformats.org/officeDocument/2006/relationships/hyperlink" Id="rId45" Target="https://x.com/thsottiaux/status/2030017068540776891" TargetMode="External" /><Relationship Type="http://schemas.openxmlformats.org/officeDocument/2006/relationships/hyperlink" Id="rId43" Target="https://x.com/thsottiaux/status/2030146003249307740" TargetMode="External" /><Relationship Type="http://schemas.openxmlformats.org/officeDocument/2006/relationships/hyperlink" Id="rId41" Target="https://x.com/thsottiaux/status/2030146206387875963" TargetMode="External" /><Relationship Type="http://schemas.openxmlformats.org/officeDocument/2006/relationships/hyperlink" Id="rId93" Target="https://youtube.com/watch?v=dUMsFQ8y3gM&amp;t=341" TargetMode="External" /><Relationship Type="http://schemas.openxmlformats.org/officeDocument/2006/relationships/hyperlink" Id="rId97" Target="https://youtube.com/watch?v=dUMsFQ8y3gM&amp;t=626" TargetMode="External" /><Relationship Type="http://schemas.openxmlformats.org/officeDocument/2006/relationships/hyperlink" Id="rId102" Target="https://youtube.com/watch?v=dYk-bt9BFIs&amp;t=154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youtube.com/watch?v=dUMsFQ8y3gM" TargetMode="External" /><Relationship Type="http://schemas.openxmlformats.org/officeDocument/2006/relationships/hyperlink" Id="rId23" Target="https://www.youtube.com/watch?v=dYk-bt9BFIs" TargetMode="External" /><Relationship Type="http://schemas.openxmlformats.org/officeDocument/2006/relationships/hyperlink" Id="rId66" Target="https://x.com/Al_Grigor/status/2029889772181934425" TargetMode="External" /><Relationship Type="http://schemas.openxmlformats.org/officeDocument/2006/relationships/hyperlink" Id="rId116" Target="https://x.com/OpenAIDevs/status/2021637918847381656" TargetMode="External" /><Relationship Type="http://schemas.openxmlformats.org/officeDocument/2006/relationships/hyperlink" Id="rId32" Target="https://x.com/OpenAIDevs/status/2029983809652035758" TargetMode="External" /><Relationship Type="http://schemas.openxmlformats.org/officeDocument/2006/relationships/hyperlink" Id="rId36" Target="https://x.com/OpenAIDevs/status/2029998191043911955" TargetMode="External" /><Relationship Type="http://schemas.openxmlformats.org/officeDocument/2006/relationships/hyperlink" Id="rId50" Target="https://x.com/QuixiAI/status/2029673108207026669" TargetMode="External" /><Relationship Type="http://schemas.openxmlformats.org/officeDocument/2006/relationships/hyperlink" Id="rId79" Target="https://x.com/bentossell/status/2029892003853471870" TargetMode="External" /><Relationship Type="http://schemas.openxmlformats.org/officeDocument/2006/relationships/hyperlink" Id="rId54" Target="https://x.com/dhh/status/2029955480689270858" TargetMode="External" /><Relationship Type="http://schemas.openxmlformats.org/officeDocument/2006/relationships/hyperlink" Id="rId52" Target="https://x.com/hansonwng/status/2030002182226153858" TargetMode="External" /><Relationship Type="http://schemas.openxmlformats.org/officeDocument/2006/relationships/hyperlink" Id="rId74" Target="https://x.com/kentcdodds/status/2030033902203523167" TargetMode="External" /><Relationship Type="http://schemas.openxmlformats.org/officeDocument/2006/relationships/hyperlink" Id="rId72" Target="https://x.com/kentcdodds/status/2030034515507228930" TargetMode="External" /><Relationship Type="http://schemas.openxmlformats.org/officeDocument/2006/relationships/hyperlink" Id="rId47" Target="https://x.com/markchen90/status/2030151018164670486" TargetMode="External" /><Relationship Type="http://schemas.openxmlformats.org/officeDocument/2006/relationships/hyperlink" Id="rId38" Target="https://x.com/romainhuet/status/2030003126158381350" TargetMode="External" /><Relationship Type="http://schemas.openxmlformats.org/officeDocument/2006/relationships/hyperlink" Id="rId63" Target="https://x.com/simonw/status/2029962824731275718" TargetMode="External" /><Relationship Type="http://schemas.openxmlformats.org/officeDocument/2006/relationships/hyperlink" Id="rId68" Target="https://x.com/simonw/status/2030013978622222717" TargetMode="External" /><Relationship Type="http://schemas.openxmlformats.org/officeDocument/2006/relationships/hyperlink" Id="rId106" Target="https://x.com/theo/status/2030071716530245800" TargetMode="External" /><Relationship Type="http://schemas.openxmlformats.org/officeDocument/2006/relationships/hyperlink" Id="rId112" Target="https://x.com/theo/status/2030072127605592547" TargetMode="External" /><Relationship Type="http://schemas.openxmlformats.org/officeDocument/2006/relationships/hyperlink" Id="rId108" Target="https://x.com/theo/status/2030072662173831323" TargetMode="External" /><Relationship Type="http://schemas.openxmlformats.org/officeDocument/2006/relationships/hyperlink" Id="rId110" Target="https://x.com/theo/status/2030072765022359849" TargetMode="External" /><Relationship Type="http://schemas.openxmlformats.org/officeDocument/2006/relationships/hyperlink" Id="rId114" Target="https://x.com/theo/status/2030095672251412503" TargetMode="External" /><Relationship Type="http://schemas.openxmlformats.org/officeDocument/2006/relationships/hyperlink" Id="rId45" Target="https://x.com/thsottiaux/status/2030017068540776891" TargetMode="External" /><Relationship Type="http://schemas.openxmlformats.org/officeDocument/2006/relationships/hyperlink" Id="rId43" Target="https://x.com/thsottiaux/status/2030146003249307740" TargetMode="External" /><Relationship Type="http://schemas.openxmlformats.org/officeDocument/2006/relationships/hyperlink" Id="rId41" Target="https://x.com/thsottiaux/status/2030146206387875963" TargetMode="External" /><Relationship Type="http://schemas.openxmlformats.org/officeDocument/2006/relationships/hyperlink" Id="rId93" Target="https://youtube.com/watch?v=dUMsFQ8y3gM&amp;t=341" TargetMode="External" /><Relationship Type="http://schemas.openxmlformats.org/officeDocument/2006/relationships/hyperlink" Id="rId97" Target="https://youtube.com/watch?v=dUMsFQ8y3gM&amp;t=626" TargetMode="External" /><Relationship Type="http://schemas.openxmlformats.org/officeDocument/2006/relationships/hyperlink" Id="rId102" Target="https://youtube.com/watch?v=dYk-bt9BFIs&amp;t=154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Verification-first coding agents: Composer 1.5, spec-driven dev, and why proof beats diffs</dc:title>
  <dc:creator>Coding Agents Alpha Tracker</dc:creator>
  <cp:keywords/>
  <dcterms:created xsi:type="dcterms:W3CDTF">2026-03-07T22:57:22Z</dcterms:created>
  <dcterms:modified xsi:type="dcterms:W3CDTF">2026-03-07T22:57:22Z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2026-03-07</vt:lpwstr>
  </property>
</Properties>
</file>