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0.jpg" ContentType="image/jpeg"/>
  <Override PartName="/word/media/rId3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Wheat short-covering, E15/RVO demand bets, and Brazil logistics + credit pressure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2026-03-01</w:t>
      </w:r>
    </w:p>
    <w:bookmarkStart w:id="135" w:name="X809477a8627396a4f2cc21e97c1b29dfbff1c1d"/>
    <w:p>
      <w:pPr>
        <w:pStyle w:val="Heading1"/>
      </w:pPr>
      <w:r>
        <w:t xml:space="preserve">Wheat short-covering, E15/RVO demand bets, and Brazil logistics + credit pressure</w:t>
      </w:r>
    </w:p>
    <w:p>
      <w:pPr>
        <w:pStyle w:val="FirstParagraph"/>
      </w:pPr>
      <w:r>
        <w:rPr>
          <w:iCs/>
          <w:i/>
        </w:rPr>
        <w:t xml:space="preserve">By Global Agricultural Developments • March 1, 2026</w:t>
      </w:r>
    </w:p>
    <w:p>
      <w:pPr>
        <w:pStyle w:val="BodyText"/>
      </w:pPr>
      <w:r>
        <w:t xml:space="preserve">Wheat positioning shifted sharply as shorts collapsed and funds added longs, while U.S. demand levers (E15/RVOs, trade access) and Brazil’s export/credit constraints stayed central to outlook risk. This brief also highlights measured soil health gains from no-till/cover crops, new equipment automation, and practical livestock/aquaculture techniques from global case examples.</w:t>
      </w:r>
    </w:p>
    <w:bookmarkStart w:id="43" w:name="market-movers"/>
    <w:p>
      <w:pPr>
        <w:pStyle w:val="Heading2"/>
      </w:pPr>
      <w:r>
        <w:t xml:space="preserve">1) Market Movers</w:t>
      </w:r>
    </w:p>
    <w:bookmarkStart w:id="23" w:name="wheat-u.s.-chicago"/>
    <w:p>
      <w:pPr>
        <w:pStyle w:val="Heading3"/>
      </w:pPr>
      <w:r>
        <w:t xml:space="preserve">Wheat (U.S. – Chicago)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Positioning flipped quickly:</w:t>
      </w:r>
      <w:r>
        <w:t xml:space="preserve"> </w:t>
      </w:r>
      <w:r>
        <w:t xml:space="preserve">short interest in</w:t>
      </w:r>
      <w:r>
        <w:t xml:space="preserve"> </w:t>
      </w:r>
      <w:r>
        <w:rPr>
          <w:bCs/>
          <w:b/>
        </w:rPr>
        <w:t xml:space="preserve">Chicago wheat futures</w:t>
      </w:r>
      <w:r>
        <w:t xml:space="preserve"> </w:t>
      </w:r>
      <w:r>
        <w:t xml:space="preserve">“</w:t>
      </w:r>
      <w:r>
        <w:t xml:space="preserve">collapsed</w:t>
      </w:r>
      <w:r>
        <w:t xml:space="preserve">”</w:t>
      </w:r>
      <w:r>
        <w:t xml:space="preserve"> </w:t>
      </w:r>
      <w:r>
        <w:t xml:space="preserve">over the past two weeks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, while funds added their</w:t>
      </w:r>
      <w:r>
        <w:t xml:space="preserve"> </w:t>
      </w:r>
      <w:r>
        <w:rPr>
          <w:bCs/>
          <w:b/>
        </w:rPr>
        <w:t xml:space="preserve">largest weekly increase in long positions since 2015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bookmarkEnd w:id="23"/>
    <w:bookmarkStart w:id="28" w:name="corn-soybeans-u.s."/>
    <w:p>
      <w:pPr>
        <w:pStyle w:val="Heading3"/>
      </w:pPr>
      <w:r>
        <w:t xml:space="preserve">Corn &amp; soybeans (U.S.)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management benchmark shift (crop insurance):</w:t>
      </w:r>
      <w:r>
        <w:t xml:space="preserve"> </w:t>
      </w:r>
      <w:r>
        <w:t xml:space="preserve">the projected crop insurance price was reported as</w:t>
      </w:r>
      <w:r>
        <w:t xml:space="preserve"> </w:t>
      </w:r>
      <w:r>
        <w:rPr>
          <w:bCs/>
          <w:b/>
        </w:rPr>
        <w:t xml:space="preserve">$4.62 for corn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$11.09 for soybeans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6"/>
      </w:r>
      <w:r>
        <w:t xml:space="preserve">. (Shared source: DTN link in post)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bookmarkEnd w:id="28"/>
    <w:bookmarkStart w:id="42" w:name="biofuels-policy-as-a-demand-lever-u.s."/>
    <w:p>
      <w:pPr>
        <w:pStyle w:val="Heading3"/>
      </w:pPr>
      <w:r>
        <w:t xml:space="preserve">Biofuels policy as a demand lever (U.S.)</w:t>
      </w:r>
    </w:p>
    <w:p>
      <w:pPr>
        <w:numPr>
          <w:ilvl w:val="0"/>
          <w:numId w:val="1003"/>
        </w:numPr>
      </w:pPr>
      <w:r>
        <w:t xml:space="preserve">Farm groups continued pressing for</w:t>
      </w:r>
      <w:r>
        <w:t xml:space="preserve"> </w:t>
      </w:r>
      <w:r>
        <w:rPr>
          <w:bCs/>
          <w:b/>
        </w:rPr>
        <w:t xml:space="preserve">year-round E15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, with one speaker calling it</w:t>
      </w:r>
      <w:r>
        <w:t xml:space="preserve"> </w:t>
      </w:r>
      <w:r>
        <w:t xml:space="preserve">“</w:t>
      </w:r>
      <w:r>
        <w:t xml:space="preserve">probably the easiest thing that Congress could do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and estimating full implementation could add</w:t>
      </w:r>
      <w:r>
        <w:t xml:space="preserve"> </w:t>
      </w:r>
      <w:r>
        <w:rPr>
          <w:bCs/>
          <w:b/>
        </w:rPr>
        <w:t xml:space="preserve">~2.5B bushels</w:t>
      </w:r>
      <w:r>
        <w:t xml:space="preserve"> </w:t>
      </w:r>
      <w:r>
        <w:t xml:space="preserve">of demand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California as a swing state for E15:</w:t>
      </w:r>
      <w:r>
        <w:t xml:space="preserve"> </w:t>
      </w:r>
      <w:r>
        <w:t xml:space="preserve">a Farm Journal segment described California as a major battleground where E15 could become the</w:t>
      </w:r>
      <w:r>
        <w:t xml:space="preserve"> </w:t>
      </w:r>
      <w:r>
        <w:rPr>
          <w:bCs/>
          <w:b/>
        </w:rPr>
        <w:t xml:space="preserve">default fuel</w:t>
      </w:r>
      <w:r>
        <w:t xml:space="preserve"> </w:t>
      </w:r>
      <w:r>
        <w:t xml:space="preserve">due to station readiness and retailer behavior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—framed as</w:t>
      </w:r>
      <w:r>
        <w:t xml:space="preserve"> </w:t>
      </w:r>
      <w:r>
        <w:rPr>
          <w:bCs/>
          <w:b/>
        </w:rPr>
        <w:t xml:space="preserve">~400M bushels of incremental corn demand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 However, it said E15 still isn’t sold in the state due to a fire marshal-linked barrier involving</w:t>
      </w:r>
      <w:r>
        <w:t xml:space="preserve"> </w:t>
      </w:r>
      <w:r>
        <w:rPr>
          <w:bCs/>
          <w:b/>
        </w:rPr>
        <w:t xml:space="preserve">stage two vapor recovery</w:t>
      </w:r>
      <w:r>
        <w:t xml:space="preserve"> </w:t>
      </w:r>
      <w:r>
        <w:t xml:space="preserve">systems that are not approved for E15</w:t>
      </w:r>
      <w:r>
        <w:t xml:space="preserve"> </w:t>
      </w:r>
      <w:r>
        <w:rPr>
          <w:rStyle w:val="FootnoteReference"/>
        </w:rPr>
        <w:footnoteReference w:id="36"/>
      </w:r>
      <w:r>
        <w:rPr>
          <w:rStyle w:val="FootnoteReference"/>
        </w:rPr>
        <w:footnoteReference w:id="37"/>
      </w:r>
      <w:r>
        <w:t xml:space="preserve">.</w:t>
      </w:r>
    </w:p>
    <w:p>
      <w:pPr>
        <w:pStyle w:val="FirstParagraph"/>
      </w:pPr>
      <w:hyperlink r:id="rId41">
        <w:r>
          <w:drawing>
            <wp:inline>
              <wp:extent cx="5334000" cy="4000500"/>
              <wp:effectExtent b="0" l="0" r="0" t="0"/>
              <wp:docPr descr="California Emerges as Key Battleground for E15 Expansion" title="" id="39" name="Picture"/>
              <a:graphic>
                <a:graphicData uri="http://schemas.openxmlformats.org/drawingml/2006/picture">
                  <pic:pic>
                    <pic:nvPicPr>
                      <pic:cNvPr descr="https://img.youtube.com/vi/AdE-lMjSVQ8/hqdefault.jpg" id="4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California Emerges as Key Battleground for E15 Expansion (0:59)</w:t>
      </w:r>
    </w:p>
    <w:bookmarkEnd w:id="42"/>
    <w:bookmarkEnd w:id="43"/>
    <w:bookmarkStart w:id="67" w:name="innovation-spotlight"/>
    <w:p>
      <w:pPr>
        <w:pStyle w:val="Heading2"/>
      </w:pPr>
      <w:r>
        <w:t xml:space="preserve">2) Innovation Spotlight</w:t>
      </w:r>
    </w:p>
    <w:bookmarkStart w:id="54" w:name="Xb26051feae6b6e8a599fedb2b4d4017f5972995"/>
    <w:p>
      <w:pPr>
        <w:pStyle w:val="Heading3"/>
      </w:pPr>
      <w:r>
        <w:t xml:space="preserve">Conservation practices with measured outcomes (U.S. – Tennessee)</w:t>
      </w:r>
    </w:p>
    <w:p>
      <w:pPr>
        <w:numPr>
          <w:ilvl w:val="0"/>
          <w:numId w:val="1004"/>
        </w:numPr>
      </w:pPr>
      <w:r>
        <w:t xml:space="preserve">Tennessee soybean grower</w:t>
      </w:r>
      <w:r>
        <w:t xml:space="preserve"> </w:t>
      </w:r>
      <w:r>
        <w:rPr>
          <w:bCs/>
          <w:b/>
        </w:rPr>
        <w:t xml:space="preserve">Alex Forsbach</w:t>
      </w:r>
      <w:r>
        <w:t xml:space="preserve"> </w:t>
      </w:r>
      <w:r>
        <w:t xml:space="preserve">received the 2026 American Soybean Association</w:t>
      </w:r>
      <w:r>
        <w:t xml:space="preserve"> </w:t>
      </w:r>
      <w:r>
        <w:rPr>
          <w:bCs/>
          <w:b/>
        </w:rPr>
        <w:t xml:space="preserve">Conservation Legacy Award</w:t>
      </w:r>
      <w:r>
        <w:t xml:space="preserve"> </w:t>
      </w:r>
      <w:r>
        <w:t xml:space="preserve">for building his operation around</w:t>
      </w:r>
      <w:r>
        <w:t xml:space="preserve"> </w:t>
      </w:r>
      <w:r>
        <w:rPr>
          <w:bCs/>
          <w:b/>
        </w:rPr>
        <w:t xml:space="preserve">no-till and cover crops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numPr>
          <w:ilvl w:val="0"/>
          <w:numId w:val="1004"/>
        </w:numPr>
      </w:pPr>
      <w:r>
        <w:t xml:space="preserve">Reported on-farm results and mechanisms: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Soil organic matter increased by &gt;1% over 10 years</w:t>
      </w:r>
      <w:r>
        <w:t xml:space="preserve"> </w:t>
      </w:r>
      <w:r>
        <w:t xml:space="preserve">with cover crops, alongside goals like improved soil health and seeing earthworms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No-till</w:t>
      </w:r>
      <w:r>
        <w:t xml:space="preserve"> </w:t>
      </w:r>
      <w:r>
        <w:t xml:space="preserve">was described as helping fields recover from flooding by keeping soil structure intact, reducing erosion, improving infiltration, and protecting the surface with residue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Forsbach said no-till helps</w:t>
      </w:r>
      <w:r>
        <w:t xml:space="preserve"> </w:t>
      </w:r>
      <w:r>
        <w:t xml:space="preserve">“</w:t>
      </w:r>
      <w:r>
        <w:t xml:space="preserve">anchor</w:t>
      </w:r>
      <w:r>
        <w:t xml:space="preserve">”</w:t>
      </w:r>
      <w:r>
        <w:t xml:space="preserve"> </w:t>
      </w:r>
      <w:r>
        <w:t xml:space="preserve">residue to reduce nutrient loss when heavy water comes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Cover crops</w:t>
      </w:r>
      <w:r>
        <w:t xml:space="preserve"> </w:t>
      </w:r>
      <w:r>
        <w:t xml:space="preserve">were described as keeping soil resilient year-round; living roots help hold ground during wet periods, while added organic matter improves drainage and strengthens fields against future flooding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pStyle w:val="FirstParagraph"/>
      </w:pPr>
      <w:hyperlink r:id="rId53">
        <w:r>
          <w:drawing>
            <wp:inline>
              <wp:extent cx="5334000" cy="4000500"/>
              <wp:effectExtent b="0" l="0" r="0" t="0"/>
              <wp:docPr descr="Eye on Conservation: Tennessee Soybean Grower Wins National Conservation Honor" title="" id="51" name="Picture"/>
              <a:graphic>
                <a:graphicData uri="http://schemas.openxmlformats.org/drawingml/2006/picture">
                  <pic:pic>
                    <pic:nvPicPr>
                      <pic:cNvPr descr="https://img.youtube.com/vi/8YJN7F4ZojU/hqdefault.jpg" id="5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5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Eye on Conservation: Tennessee Soybean Grower Wins National Conservation Honor (3:07)</w:t>
      </w:r>
    </w:p>
    <w:bookmarkEnd w:id="54"/>
    <w:bookmarkStart w:id="61" w:name="equipment-digital-workflows-u.s."/>
    <w:p>
      <w:pPr>
        <w:pStyle w:val="Heading3"/>
      </w:pPr>
      <w:r>
        <w:t xml:space="preserve">Equipment &amp; digital workflows (U.S.)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AGCO / Massey Ferguson 9S tractors:</w:t>
      </w:r>
      <w:r>
        <w:t xml:space="preserve"> </w:t>
      </w:r>
      <w:r>
        <w:t xml:space="preserve">AGCO announced updates adding</w:t>
      </w:r>
      <w:r>
        <w:t xml:space="preserve"> </w:t>
      </w:r>
      <w:r>
        <w:rPr>
          <w:bCs/>
          <w:b/>
        </w:rPr>
        <w:t xml:space="preserve">Tractor Implement Management (TIM)</w:t>
      </w:r>
      <w:r>
        <w:t xml:space="preserve">, enabling compatible implements to communicate with the tractor and automatically manage speed and key tractor functions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On-farm AI integrations (community-built):</w:t>
      </w:r>
    </w:p>
    <w:p>
      <w:pPr>
        <w:numPr>
          <w:ilvl w:val="1"/>
          <w:numId w:val="1007"/>
        </w:numPr>
        <w:pStyle w:val="Compact"/>
      </w:pPr>
      <w:r>
        <w:t xml:space="preserve">A participant in</w:t>
      </w:r>
      <w:r>
        <w:t xml:space="preserve"> </w:t>
      </w:r>
      <w:r>
        <w:t xml:space="preserve">“</w:t>
      </w:r>
      <w:r>
        <w:t xml:space="preserve">AI on Your Farm</w:t>
      </w:r>
      <w:r>
        <w:t xml:space="preserve">”</w:t>
      </w:r>
      <w:r>
        <w:t xml:space="preserve"> </w:t>
      </w:r>
      <w:r>
        <w:t xml:space="preserve">created and shared a</w:t>
      </w:r>
      <w:r>
        <w:t xml:space="preserve"> </w:t>
      </w:r>
      <w:r>
        <w:rPr>
          <w:bCs/>
          <w:b/>
        </w:rPr>
        <w:t xml:space="preserve">John Deere Operations Center MCP</w:t>
      </w:r>
      <w:r>
        <w:t xml:space="preserve"> </w:t>
      </w:r>
      <w:r>
        <w:t xml:space="preserve">so they can query Ops Center data via</w:t>
      </w:r>
      <w:r>
        <w:t xml:space="preserve"> </w:t>
      </w:r>
      <w:r>
        <w:rPr>
          <w:bCs/>
          <w:b/>
        </w:rPr>
        <w:t xml:space="preserve">Claude/Claude Cowork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A separate post highlighted a</w:t>
      </w:r>
      <w:r>
        <w:t xml:space="preserve"> </w:t>
      </w:r>
      <w:r>
        <w:rPr>
          <w:bCs/>
          <w:b/>
        </w:rPr>
        <w:t xml:space="preserve">Claude Cowork grain price scraper</w:t>
      </w:r>
      <w:r>
        <w:t xml:space="preserve"> </w:t>
      </w:r>
      <w:r>
        <w:t xml:space="preserve">from the</w:t>
      </w:r>
      <w:r>
        <w:t xml:space="preserve"> </w:t>
      </w:r>
      <w:r>
        <w:t xml:space="preserve">“</w:t>
      </w:r>
      <w:r>
        <w:t xml:space="preserve">Fullstack Ag</w:t>
      </w:r>
      <w:r>
        <w:t xml:space="preserve">”</w:t>
      </w:r>
      <w:r>
        <w:t xml:space="preserve"> </w:t>
      </w:r>
      <w:r>
        <w:t xml:space="preserve">community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bookmarkEnd w:id="61"/>
    <w:bookmarkStart w:id="66" w:name="Xb8d9d24061384fd8a0016662d755a3abba56f88"/>
    <w:p>
      <w:pPr>
        <w:pStyle w:val="Heading3"/>
      </w:pPr>
      <w:r>
        <w:t xml:space="preserve">Finance innovation tied to currency risk (Brazil)</w:t>
      </w:r>
    </w:p>
    <w:p>
      <w:pPr>
        <w:numPr>
          <w:ilvl w:val="0"/>
          <w:numId w:val="1008"/>
        </w:numPr>
        <w:pStyle w:val="Compact"/>
      </w:pPr>
      <w:r>
        <w:t xml:space="preserve">A Canal Rural interview described a newly launched</w:t>
      </w:r>
      <w:r>
        <w:t xml:space="preserve"> </w:t>
      </w:r>
      <w:r>
        <w:rPr>
          <w:bCs/>
          <w:b/>
        </w:rPr>
        <w:t xml:space="preserve">USD-indexed CPR</w:t>
      </w:r>
      <w:r>
        <w:t xml:space="preserve"> </w:t>
      </w:r>
      <w:r>
        <w:t xml:space="preserve">(released in</w:t>
      </w:r>
      <w:r>
        <w:t xml:space="preserve"> </w:t>
      </w:r>
      <w:r>
        <w:rPr>
          <w:bCs/>
          <w:b/>
        </w:rPr>
        <w:t xml:space="preserve">February 2026</w:t>
      </w:r>
      <w:r>
        <w:t xml:space="preserve">) as a way to better match</w:t>
      </w:r>
      <w:r>
        <w:t xml:space="preserve"> </w:t>
      </w:r>
      <w:r>
        <w:rPr>
          <w:bCs/>
          <w:b/>
        </w:rPr>
        <w:t xml:space="preserve">USD-correlated commodity revenues</w:t>
      </w:r>
      <w:r>
        <w:t xml:space="preserve"> </w:t>
      </w:r>
      <w:r>
        <w:t xml:space="preserve">with financing, noting that relatively few institutions offer it so far</w:t>
      </w:r>
      <w:r>
        <w:t xml:space="preserve"> </w:t>
      </w:r>
      <w:r>
        <w:rPr>
          <w:rStyle w:val="FootnoteReference"/>
        </w:rPr>
        <w:footnoteReference w:id="62"/>
      </w:r>
      <w:r>
        <w:rPr>
          <w:rStyle w:val="FootnoteReference"/>
        </w:rPr>
        <w:footnoteReference w:id="64"/>
      </w:r>
      <w:r>
        <w:t xml:space="preserve">. It also noted institutions need swap/indexer-exchange capability to manage the currency exposure while offering a simpler product interface to producers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bookmarkEnd w:id="66"/>
    <w:bookmarkEnd w:id="67"/>
    <w:bookmarkStart w:id="92" w:name="regional-developments"/>
    <w:p>
      <w:pPr>
        <w:pStyle w:val="Heading2"/>
      </w:pPr>
      <w:r>
        <w:t xml:space="preserve">3) Regional Developments</w:t>
      </w:r>
    </w:p>
    <w:bookmarkStart w:id="77" w:name="X36f07d3f7b22cf2724ec9599f331032abd6c918"/>
    <w:p>
      <w:pPr>
        <w:pStyle w:val="Heading3"/>
      </w:pPr>
      <w:r>
        <w:t xml:space="preserve">Brazil: soybean export bottlenecks at a river port</w:t>
      </w:r>
    </w:p>
    <w:p>
      <w:pPr>
        <w:numPr>
          <w:ilvl w:val="0"/>
          <w:numId w:val="1009"/>
        </w:numPr>
      </w:pPr>
      <w:r>
        <w:t xml:space="preserve">A Reuters-linked report shared on r/farming said</w:t>
      </w:r>
      <w:r>
        <w:t xml:space="preserve"> </w:t>
      </w:r>
      <w:r>
        <w:rPr>
          <w:bCs/>
          <w:b/>
        </w:rPr>
        <w:t xml:space="preserve">trucks of soybeans backed up at a Brazil river port</w:t>
      </w:r>
      <w:r>
        <w:t xml:space="preserve">, slowing exports of a</w:t>
      </w:r>
      <w:r>
        <w:t xml:space="preserve"> </w:t>
      </w:r>
      <w:r>
        <w:rPr>
          <w:bCs/>
          <w:b/>
        </w:rPr>
        <w:t xml:space="preserve">record harvest</w:t>
      </w:r>
      <w:r>
        <w:t xml:space="preserve"> </w:t>
      </w:r>
      <w:r>
        <w:t xml:space="preserve">amid infrastructure constraints</w:t>
      </w:r>
      <w:r>
        <w:t xml:space="preserve"> </w:t>
      </w:r>
      <w:r>
        <w:rPr>
          <w:rStyle w:val="FootnoteReference"/>
        </w:rPr>
        <w:footnoteReference w:id="68"/>
      </w:r>
      <w:r>
        <w:rPr>
          <w:rStyle w:val="FootnoteReference"/>
        </w:rPr>
        <w:footnoteReference w:id="70"/>
      </w:r>
      <w:r>
        <w:t xml:space="preserve">.</w:t>
      </w:r>
    </w:p>
    <w:p>
      <w:pPr>
        <w:numPr>
          <w:ilvl w:val="0"/>
          <w:numId w:val="1009"/>
        </w:numPr>
      </w:pPr>
      <w:r>
        <w:t xml:space="preserve">Discussion from commenters emphasized the logistics angle:</w:t>
      </w:r>
    </w:p>
    <w:p>
      <w:pPr>
        <w:numPr>
          <w:ilvl w:val="1"/>
          <w:numId w:val="1010"/>
        </w:numPr>
        <w:pStyle w:val="Compact"/>
      </w:pPr>
      <w:r>
        <w:t xml:space="preserve">“</w:t>
      </w:r>
      <w:r>
        <w:t xml:space="preserve">Record harvests stuck at ports while infrastructure lags behind,</w:t>
      </w:r>
      <w:r>
        <w:t xml:space="preserve">”</w:t>
      </w:r>
      <w:r>
        <w:t xml:space="preserve"> </w:t>
      </w:r>
      <w:r>
        <w:t xml:space="preserve">with the framing that food security includes the ability to</w:t>
      </w:r>
      <w:r>
        <w:t xml:space="preserve"> </w:t>
      </w:r>
      <w:r>
        <w:rPr>
          <w:bCs/>
          <w:b/>
        </w:rPr>
        <w:t xml:space="preserve">move</w:t>
      </w:r>
      <w:r>
        <w:t xml:space="preserve"> </w:t>
      </w:r>
      <w:r>
        <w:t xml:space="preserve">crops efficiently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A parallel was drawn to rail bottlenecks moving grain from elevators to port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Another commenter linked to an article claiming China is investing billions in South American grain-handling ports, potentially bypassing U.S. farmers for years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</w:t>
      </w:r>
    </w:p>
    <w:bookmarkEnd w:id="77"/>
    <w:bookmarkStart w:id="85" w:name="X642f58578745cfd6343c3e328671b12325e469b"/>
    <w:p>
      <w:pPr>
        <w:pStyle w:val="Heading3"/>
      </w:pPr>
      <w:r>
        <w:t xml:space="preserve">Brazil (Mato Grosso): margins, FX exposure, and credit conditions</w:t>
      </w:r>
    </w:p>
    <w:p>
      <w:pPr>
        <w:numPr>
          <w:ilvl w:val="0"/>
          <w:numId w:val="1011"/>
        </w:numPr>
      </w:pPr>
      <w:r>
        <w:t xml:space="preserve">The Canal Rural segment described recent Brazilian crop years as challenging:</w:t>
      </w:r>
    </w:p>
    <w:p>
      <w:pPr>
        <w:numPr>
          <w:ilvl w:val="1"/>
          <w:numId w:val="1012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2023/24</w:t>
      </w:r>
      <w:r>
        <w:t xml:space="preserve"> </w:t>
      </w:r>
      <w:r>
        <w:t xml:space="preserve">season had climate issues that hit productivity and left</w:t>
      </w:r>
      <w:r>
        <w:t xml:space="preserve"> </w:t>
      </w:r>
      <w:r>
        <w:rPr>
          <w:bCs/>
          <w:b/>
        </w:rPr>
        <w:t xml:space="preserve">tight margins</w:t>
      </w:r>
      <w:r>
        <w:t xml:space="preserve"> </w:t>
      </w:r>
      <w:r>
        <w:t xml:space="preserve">versus cost/revenue projections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numPr>
          <w:ilvl w:val="1"/>
          <w:numId w:val="1012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2024/25</w:t>
      </w:r>
      <w:r>
        <w:t xml:space="preserve"> </w:t>
      </w:r>
      <w:r>
        <w:t xml:space="preserve">season was also described as challenging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p>
      <w:pPr>
        <w:numPr>
          <w:ilvl w:val="0"/>
          <w:numId w:val="1011"/>
        </w:numPr>
      </w:pPr>
      <w:r>
        <w:t xml:space="preserve">It emphasized that key commodity revenues (e.g.,</w:t>
      </w:r>
      <w:r>
        <w:t xml:space="preserve"> </w:t>
      </w:r>
      <w:r>
        <w:rPr>
          <w:bCs/>
          <w:b/>
        </w:rPr>
        <w:t xml:space="preserve">soy, corn, cotton, coffee</w:t>
      </w:r>
      <w:r>
        <w:t xml:space="preserve">) are</w:t>
      </w:r>
      <w:r>
        <w:t xml:space="preserve"> </w:t>
      </w:r>
      <w:r>
        <w:t xml:space="preserve">“</w:t>
      </w:r>
      <w:r>
        <w:t xml:space="preserve">intrinsically dollarized,</w:t>
      </w:r>
      <w:r>
        <w:t xml:space="preserve">”</w:t>
      </w:r>
      <w:r>
        <w:t xml:space="preserve"> </w:t>
      </w:r>
      <w:r>
        <w:t xml:space="preserve">with revenue highly correlated to USD moves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, while major input costs (fertilizers and crop protection) are also largely</w:t>
      </w:r>
      <w:r>
        <w:t xml:space="preserve"> </w:t>
      </w:r>
      <w:r>
        <w:rPr>
          <w:bCs/>
          <w:b/>
        </w:rPr>
        <w:t xml:space="preserve">USD-linked</w:t>
      </w:r>
      <w:r>
        <w:t xml:space="preserve"> </w:t>
      </w:r>
      <w:r>
        <w:t xml:space="preserve">due to imports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p>
      <w:pPr>
        <w:numPr>
          <w:ilvl w:val="0"/>
          <w:numId w:val="1011"/>
        </w:numPr>
      </w:pPr>
      <w:r>
        <w:t xml:space="preserve">The same discussion flagged higher sector credit stress: with</w:t>
      </w:r>
      <w:r>
        <w:t xml:space="preserve"> </w:t>
      </w:r>
      <w:r>
        <w:rPr>
          <w:bCs/>
          <w:b/>
        </w:rPr>
        <w:t xml:space="preserve">Selic at 15%</w:t>
      </w:r>
      <w:r>
        <w:t xml:space="preserve"> </w:t>
      </w:r>
      <w:r>
        <w:t xml:space="preserve">and rising delinquency, the cost of credit increases broadly across the sector</w:t>
      </w:r>
      <w:r>
        <w:t xml:space="preserve"> </w:t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3"/>
      </w:r>
      <w:r>
        <w:rPr>
          <w:rStyle w:val="FootnoteReference"/>
        </w:rPr>
        <w:footnoteReference w:id="84"/>
      </w:r>
      <w:r>
        <w:t xml:space="preserve">.</w:t>
      </w:r>
    </w:p>
    <w:bookmarkEnd w:id="85"/>
    <w:bookmarkStart w:id="91" w:name="X46f5d6e3f4f5476054aa96b0565b16cd46c5b3c"/>
    <w:p>
      <w:pPr>
        <w:pStyle w:val="Heading3"/>
      </w:pPr>
      <w:r>
        <w:t xml:space="preserve">U.S.: weather as a supply (and logistics) wild card</w:t>
      </w:r>
    </w:p>
    <w:p>
      <w:pPr>
        <w:numPr>
          <w:ilvl w:val="0"/>
          <w:numId w:val="1013"/>
        </w:numPr>
      </w:pPr>
      <w:r>
        <w:t xml:space="preserve">A Farm Journal weather segment noted producer concern about</w:t>
      </w:r>
      <w:r>
        <w:t xml:space="preserve"> </w:t>
      </w:r>
      <w:r>
        <w:rPr>
          <w:bCs/>
          <w:b/>
        </w:rPr>
        <w:t xml:space="preserve">drought</w:t>
      </w:r>
      <w:r>
        <w:t xml:space="preserve"> </w:t>
      </w:r>
      <w:r>
        <w:t xml:space="preserve">and dryness in</w:t>
      </w:r>
      <w:r>
        <w:t xml:space="preserve"> </w:t>
      </w:r>
      <w:r>
        <w:rPr>
          <w:bCs/>
          <w:b/>
        </w:rPr>
        <w:t xml:space="preserve">Colorado, Nebraska, and areas of Kansas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, alongside concern about</w:t>
      </w:r>
      <w:r>
        <w:t xml:space="preserve"> </w:t>
      </w:r>
      <w:r>
        <w:rPr>
          <w:bCs/>
          <w:b/>
        </w:rPr>
        <w:t xml:space="preserve">Rockies snowpack</w:t>
      </w:r>
      <w:r>
        <w:t xml:space="preserve"> </w:t>
      </w:r>
      <w:r>
        <w:t xml:space="preserve">feeding into the</w:t>
      </w:r>
      <w:r>
        <w:t xml:space="preserve"> </w:t>
      </w:r>
      <w:r>
        <w:rPr>
          <w:bCs/>
          <w:b/>
        </w:rPr>
        <w:t xml:space="preserve">Platte River system</w:t>
      </w:r>
      <w:r>
        <w:t xml:space="preserve"> </w:t>
      </w:r>
      <w:r>
        <w:t xml:space="preserve">through Nebraska (described as very dry)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 It also noted the</w:t>
      </w:r>
      <w:r>
        <w:t xml:space="preserve"> </w:t>
      </w:r>
      <w:r>
        <w:rPr>
          <w:bCs/>
          <w:b/>
        </w:rPr>
        <w:t xml:space="preserve">Mississippi River is still low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p>
      <w:pPr>
        <w:numPr>
          <w:ilvl w:val="0"/>
          <w:numId w:val="1013"/>
        </w:numPr>
      </w:pPr>
      <w:r>
        <w:t xml:space="preserve">The same segment highlighted a</w:t>
      </w:r>
      <w:r>
        <w:t xml:space="preserve"> </w:t>
      </w:r>
      <w:r>
        <w:rPr>
          <w:bCs/>
          <w:b/>
        </w:rPr>
        <w:t xml:space="preserve">rapid La Niña exit</w:t>
      </w:r>
      <w:r>
        <w:t xml:space="preserve"> </w:t>
      </w:r>
      <w:r>
        <w:t xml:space="preserve">and questioned how quickly the pattern shifts to</w:t>
      </w:r>
      <w:r>
        <w:t xml:space="preserve"> </w:t>
      </w:r>
      <w:r>
        <w:t xml:space="preserve">“</w:t>
      </w:r>
      <w:r>
        <w:t xml:space="preserve">El Niño-like behavior,</w:t>
      </w:r>
      <w:r>
        <w:t xml:space="preserve">”</w:t>
      </w:r>
      <w:r>
        <w:t xml:space="preserve"> </w:t>
      </w:r>
      <w:r>
        <w:t xml:space="preserve">noting forecast models leaning toward aggressive rainfall and advising viewers to watch</w:t>
      </w:r>
      <w:r>
        <w:t xml:space="preserve"> </w:t>
      </w:r>
      <w:r>
        <w:rPr>
          <w:bCs/>
          <w:b/>
        </w:rPr>
        <w:t xml:space="preserve">current Plains drought pockets</w:t>
      </w:r>
      <w:r>
        <w:t xml:space="preserve"> </w:t>
      </w:r>
      <w:r>
        <w:t xml:space="preserve">closely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bookmarkEnd w:id="91"/>
    <w:bookmarkEnd w:id="92"/>
    <w:bookmarkStart w:id="109" w:name="best-practices"/>
    <w:p>
      <w:pPr>
        <w:pStyle w:val="Heading2"/>
      </w:pPr>
      <w:r>
        <w:t xml:space="preserve">4) Best Practices</w:t>
      </w:r>
    </w:p>
    <w:bookmarkStart w:id="96" w:name="X176cb8b06380ed0f5588bfc70ddf331fa82a953"/>
    <w:p>
      <w:pPr>
        <w:pStyle w:val="Heading3"/>
      </w:pPr>
      <w:r>
        <w:t xml:space="preserve">Grains/oilseeds: building flood resilience through soil structure (U.S. – Tennessee)</w:t>
      </w:r>
    </w:p>
    <w:p>
      <w:pPr>
        <w:numPr>
          <w:ilvl w:val="0"/>
          <w:numId w:val="1014"/>
        </w:numPr>
        <w:pStyle w:val="Compact"/>
      </w:pPr>
      <w:r>
        <w:t xml:space="preserve">Practices described as helping fields handle flooding and heavy rain:</w:t>
      </w:r>
    </w:p>
    <w:p>
      <w:pPr>
        <w:numPr>
          <w:ilvl w:val="1"/>
          <w:numId w:val="1015"/>
        </w:numPr>
        <w:pStyle w:val="Compact"/>
      </w:pPr>
      <w:r>
        <w:rPr>
          <w:bCs/>
          <w:b/>
        </w:rPr>
        <w:t xml:space="preserve">No-till</w:t>
      </w:r>
      <w:r>
        <w:t xml:space="preserve"> </w:t>
      </w:r>
      <w:r>
        <w:t xml:space="preserve">to maintain soil structure, reduce erosion, and improve infiltration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</w:t>
      </w:r>
    </w:p>
    <w:p>
      <w:pPr>
        <w:numPr>
          <w:ilvl w:val="1"/>
          <w:numId w:val="1015"/>
        </w:numPr>
        <w:pStyle w:val="Compact"/>
      </w:pPr>
      <w:r>
        <w:t xml:space="preserve">Use residue strategically: anchoring residue was described as a way to reduce nutrient loss during heavy water events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p>
      <w:pPr>
        <w:numPr>
          <w:ilvl w:val="1"/>
          <w:numId w:val="1015"/>
        </w:numPr>
        <w:pStyle w:val="Compact"/>
      </w:pPr>
      <w:r>
        <w:rPr>
          <w:bCs/>
          <w:b/>
        </w:rPr>
        <w:t xml:space="preserve">Cover crops</w:t>
      </w:r>
      <w:r>
        <w:t xml:space="preserve"> </w:t>
      </w:r>
      <w:r>
        <w:t xml:space="preserve">to keep living roots in place during wet periods and improve drainage via added organic matter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bookmarkEnd w:id="96"/>
    <w:bookmarkStart w:id="101" w:name="X7cab4e9ca51fd9ac052c940113f81714806d326"/>
    <w:p>
      <w:pPr>
        <w:pStyle w:val="Heading3"/>
      </w:pPr>
      <w:r>
        <w:t xml:space="preserve">Soil restoration &amp; habitat integration (U.S. – Illinois/Iowa examples)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Prairie strips in crop fields:</w:t>
      </w:r>
      <w:r>
        <w:t xml:space="preserve"> </w:t>
      </w:r>
      <w:r>
        <w:t xml:space="preserve">discussed as a water-management practice that can also create pollinator habitat and</w:t>
      </w:r>
      <w:r>
        <w:t xml:space="preserve"> </w:t>
      </w:r>
      <w:r>
        <w:rPr>
          <w:bCs/>
          <w:b/>
        </w:rPr>
        <w:t xml:space="preserve">wildlife corridors</w:t>
      </w:r>
      <w:r>
        <w:t xml:space="preserve"> </w:t>
      </w:r>
      <w:r>
        <w:t xml:space="preserve">connecting otherwise separated habitats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Site prep before native prairie seeding:</w:t>
      </w:r>
      <w:r>
        <w:t xml:space="preserve"> </w:t>
      </w:r>
      <w:r>
        <w:t xml:space="preserve">one speaker recommended planting</w:t>
      </w:r>
      <w:r>
        <w:t xml:space="preserve"> </w:t>
      </w:r>
      <w:r>
        <w:rPr>
          <w:bCs/>
          <w:b/>
        </w:rPr>
        <w:t xml:space="preserve">production soybeans for 1–2 years</w:t>
      </w:r>
      <w:r>
        <w:t xml:space="preserve"> </w:t>
      </w:r>
      <w:r>
        <w:t xml:space="preserve">(depending on weed pressure) to</w:t>
      </w:r>
      <w:r>
        <w:t xml:space="preserve"> </w:t>
      </w:r>
      <w:r>
        <w:t xml:space="preserve">“</w:t>
      </w:r>
      <w:r>
        <w:t xml:space="preserve">scrub</w:t>
      </w:r>
      <w:r>
        <w:t xml:space="preserve">”</w:t>
      </w:r>
      <w:r>
        <w:t xml:space="preserve"> </w:t>
      </w:r>
      <w:r>
        <w:t xml:space="preserve">fields and exhaust weed seedbanks before seeding native prairie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Large-scale remediation example:</w:t>
      </w:r>
      <w:r>
        <w:t xml:space="preserve"> </w:t>
      </w:r>
      <w:r>
        <w:t xml:space="preserve">the Nature Conservancy’s</w:t>
      </w:r>
      <w:r>
        <w:t xml:space="preserve"> </w:t>
      </w:r>
      <w:r>
        <w:rPr>
          <w:bCs/>
          <w:b/>
        </w:rPr>
        <w:t xml:space="preserve">Emiquon</w:t>
      </w:r>
      <w:r>
        <w:t xml:space="preserve"> </w:t>
      </w:r>
      <w:r>
        <w:t xml:space="preserve">project on the Illinois River was described as converting former row-crop/drained-lake land by removing a feedlot, doing soil remediation, shutting off pumps to refill with water, and introducing native species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</w:t>
      </w:r>
    </w:p>
    <w:bookmarkEnd w:id="101"/>
    <w:bookmarkStart w:id="108" w:name="livestock-aquaculture-management-china"/>
    <w:p>
      <w:pPr>
        <w:pStyle w:val="Heading3"/>
      </w:pPr>
      <w:r>
        <w:t xml:space="preserve">Livestock &amp; aquaculture management (China)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Dezhou donkey growth management:</w:t>
      </w:r>
    </w:p>
    <w:p>
      <w:pPr>
        <w:numPr>
          <w:ilvl w:val="1"/>
          <w:numId w:val="1018"/>
        </w:numPr>
        <w:pStyle w:val="Compact"/>
      </w:pPr>
      <w:r>
        <w:t xml:space="preserve">Separate pens by body size/weight to reduce bullying and uneven feed access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p>
      <w:pPr>
        <w:numPr>
          <w:ilvl w:val="1"/>
          <w:numId w:val="1018"/>
        </w:numPr>
        <w:pStyle w:val="Compact"/>
      </w:pPr>
      <w:r>
        <w:t xml:space="preserve">Use mineral</w:t>
      </w:r>
      <w:r>
        <w:t xml:space="preserve"> </w:t>
      </w:r>
      <w:r>
        <w:t xml:space="preserve">“</w:t>
      </w:r>
      <w:r>
        <w:t xml:space="preserve">salt bricks</w:t>
      </w:r>
      <w:r>
        <w:t xml:space="preserve">”</w:t>
      </w:r>
      <w:r>
        <w:t xml:space="preserve"> </w:t>
      </w:r>
      <w:r>
        <w:t xml:space="preserve">(salt + trace elements) as supplementation to curb soil-eating and improve appetite/feed utilization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Seahorse juvenile survival:</w:t>
      </w:r>
      <w:r>
        <w:t xml:space="preserve"> </w:t>
      </w:r>
      <w:r>
        <w:t xml:space="preserve">harvest juveniles immediately at dawn (including within ~30 minutes after lights-on) to reduce cannibalism by hungry adults that may mistake juveniles for feed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Dwarf horse training for agritourism safety:</w:t>
      </w:r>
      <w:r>
        <w:t xml:space="preserve"> </w:t>
      </w:r>
      <w:r>
        <w:t xml:space="preserve">a desensitization approach was described using repeated, gentle touching (starting at the neck and moving back)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 </w:t>
      </w:r>
      <w:r>
        <w:t xml:space="preserve">and consistent handling routines; timelines ranged from ~10+ days to months depending on temperament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bookmarkEnd w:id="108"/>
    <w:bookmarkEnd w:id="109"/>
    <w:bookmarkStart w:id="122" w:name="input-markets"/>
    <w:p>
      <w:pPr>
        <w:pStyle w:val="Heading2"/>
      </w:pPr>
      <w:r>
        <w:t xml:space="preserve">5) Input Markets</w:t>
      </w:r>
    </w:p>
    <w:bookmarkStart w:id="112" w:name="X01397d28a841528260116aeb6e348f1a7214b38"/>
    <w:p>
      <w:pPr>
        <w:pStyle w:val="Heading3"/>
      </w:pPr>
      <w:r>
        <w:t xml:space="preserve">U.S. crop insurance pricing (risk/finance input)</w:t>
      </w:r>
    </w:p>
    <w:p>
      <w:pPr>
        <w:numPr>
          <w:ilvl w:val="0"/>
          <w:numId w:val="1019"/>
        </w:numPr>
        <w:pStyle w:val="Compact"/>
      </w:pPr>
      <w:r>
        <w:t xml:space="preserve">Reported projected insurance prices:</w:t>
      </w:r>
      <w:r>
        <w:t xml:space="preserve"> </w:t>
      </w:r>
      <w:r>
        <w:rPr>
          <w:bCs/>
          <w:b/>
        </w:rPr>
        <w:t xml:space="preserve">corn $4.62</w:t>
      </w:r>
      <w:r>
        <w:t xml:space="preserve">,</w:t>
      </w:r>
      <w:r>
        <w:t xml:space="preserve"> </w:t>
      </w:r>
      <w:r>
        <w:rPr>
          <w:bCs/>
          <w:b/>
        </w:rPr>
        <w:t xml:space="preserve">soybeans $11.09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1"/>
      </w:r>
      <w:r>
        <w:t xml:space="preserve">.</w:t>
      </w:r>
    </w:p>
    <w:bookmarkEnd w:id="112"/>
    <w:bookmarkStart w:id="118" w:name="X54c549f32d7250aafec275e4a33cdea467a4154"/>
    <w:p>
      <w:pPr>
        <w:pStyle w:val="Heading3"/>
      </w:pPr>
      <w:r>
        <w:t xml:space="preserve">Brazil: credit cost pressure and currency-linked inputs</w:t>
      </w:r>
    </w:p>
    <w:p>
      <w:pPr>
        <w:numPr>
          <w:ilvl w:val="0"/>
          <w:numId w:val="1020"/>
        </w:numPr>
      </w:pPr>
      <w:r>
        <w:t xml:space="preserve">Credit conditions were described as tightening with</w:t>
      </w:r>
      <w:r>
        <w:t xml:space="preserve"> </w:t>
      </w:r>
      <w:r>
        <w:rPr>
          <w:bCs/>
          <w:b/>
        </w:rPr>
        <w:t xml:space="preserve">Selic at 15%</w:t>
      </w:r>
      <w:r>
        <w:t xml:space="preserve"> </w:t>
      </w:r>
      <w:r>
        <w:t xml:space="preserve">and rising delinquency, which raises borrowing costs across the sector</w:t>
      </w:r>
      <w:r>
        <w:t xml:space="preserve"> </w:t>
      </w:r>
      <w:r>
        <w:rPr>
          <w:rStyle w:val="FootnoteReference"/>
        </w:rPr>
        <w:footnoteReference w:id="113"/>
      </w:r>
      <w:r>
        <w:rPr>
          <w:rStyle w:val="FootnoteReference"/>
        </w:rPr>
        <w:footnoteReference w:id="114"/>
      </w:r>
      <w:r>
        <w:rPr>
          <w:rStyle w:val="FootnoteReference"/>
        </w:rPr>
        <w:footnoteReference w:id="115"/>
      </w:r>
      <w:r>
        <w:t xml:space="preserve">.</w:t>
      </w:r>
    </w:p>
    <w:p>
      <w:pPr>
        <w:numPr>
          <w:ilvl w:val="0"/>
          <w:numId w:val="1020"/>
        </w:numPr>
      </w:pPr>
      <w:r>
        <w:t xml:space="preserve">The Canal Rural segment also underscored an input-cost dynamic: fertilizers and crop protection were described as meaningfully</w:t>
      </w:r>
      <w:r>
        <w:t xml:space="preserve"> </w:t>
      </w:r>
      <w:r>
        <w:rPr>
          <w:bCs/>
          <w:b/>
        </w:rPr>
        <w:t xml:space="preserve">USD-linked</w:t>
      </w:r>
      <w:r>
        <w:t xml:space="preserve"> </w:t>
      </w:r>
      <w:r>
        <w:t xml:space="preserve">due to import exposure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, creating mismatch risk when costs are set with a higher USD and revenues later track a lower USD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bookmarkEnd w:id="118"/>
    <w:bookmarkStart w:id="121" w:name="u.s.-biofuels-trade-snapshot"/>
    <w:p>
      <w:pPr>
        <w:pStyle w:val="Heading3"/>
      </w:pPr>
      <w:r>
        <w:t xml:space="preserve">U.S. biofuels trade snapshot</w:t>
      </w:r>
    </w:p>
    <w:p>
      <w:pPr>
        <w:numPr>
          <w:ilvl w:val="0"/>
          <w:numId w:val="1021"/>
        </w:numPr>
        <w:pStyle w:val="Compact"/>
      </w:pPr>
      <w:r>
        <w:t xml:space="preserve">A Farm Journal segment reported the U.S. exported</w:t>
      </w:r>
      <w:r>
        <w:t xml:space="preserve"> </w:t>
      </w:r>
      <w:r>
        <w:rPr>
          <w:bCs/>
          <w:b/>
        </w:rPr>
        <w:t xml:space="preserve">just over 274,000 metric tons</w:t>
      </w:r>
      <w:r>
        <w:t xml:space="preserve"> </w:t>
      </w:r>
      <w:r>
        <w:t xml:space="preserve">of biodiesel and blends last year,</w:t>
      </w:r>
      <w:r>
        <w:t xml:space="preserve"> </w:t>
      </w:r>
      <w:r>
        <w:rPr>
          <w:bCs/>
          <w:b/>
        </w:rPr>
        <w:t xml:space="preserve">down 55%</w:t>
      </w:r>
      <w:r>
        <w:t xml:space="preserve"> </w:t>
      </w:r>
      <w:r>
        <w:t xml:space="preserve">year over year, while biodiesel imports were</w:t>
      </w:r>
      <w:r>
        <w:t xml:space="preserve"> </w:t>
      </w:r>
      <w:r>
        <w:rPr>
          <w:bCs/>
          <w:b/>
        </w:rPr>
        <w:t xml:space="preserve">down 92%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bookmarkEnd w:id="121"/>
    <w:bookmarkEnd w:id="122"/>
    <w:bookmarkStart w:id="134" w:name="forward-outlook"/>
    <w:p>
      <w:pPr>
        <w:pStyle w:val="Heading2"/>
      </w:pPr>
      <w:r>
        <w:t xml:space="preserve">6) Forward Outlook</w:t>
      </w:r>
    </w:p>
    <w:bookmarkStart w:id="130" w:name="policy-watch-e15-rvos-and-trade-access"/>
    <w:p>
      <w:pPr>
        <w:pStyle w:val="Heading3"/>
      </w:pPr>
      <w:r>
        <w:t xml:space="preserve">Policy watch: E15, RVOs, and trade access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E15:</w:t>
      </w:r>
      <w:r>
        <w:t xml:space="preserve"> </w:t>
      </w:r>
      <w:r>
        <w:t xml:space="preserve">USDA Secretary Rollins said E15 has been discussed heavily and that she has been given assurances</w:t>
      </w:r>
      <w:r>
        <w:t xml:space="preserve"> </w:t>
      </w:r>
      <w:r>
        <w:t xml:space="preserve">“</w:t>
      </w:r>
      <w:r>
        <w:t xml:space="preserve">it is going to happen,</w:t>
      </w:r>
      <w:r>
        <w:t xml:space="preserve">”</w:t>
      </w:r>
      <w:r>
        <w:t xml:space="preserve"> </w:t>
      </w:r>
      <w:r>
        <w:t xml:space="preserve">adding that current waivers were believed to be</w:t>
      </w:r>
      <w:r>
        <w:t xml:space="preserve"> </w:t>
      </w:r>
      <w:r>
        <w:rPr>
          <w:bCs/>
          <w:b/>
        </w:rPr>
        <w:t xml:space="preserve">imminent</w:t>
      </w:r>
      <w:r>
        <w:t xml:space="preserve"> </w:t>
      </w:r>
      <w:r>
        <w:t xml:space="preserve">(while cautioning she didn’t want to speak out of turn)</w:t>
      </w:r>
      <w:r>
        <w:t xml:space="preserve"> </w:t>
      </w:r>
      <w:r>
        <w:rPr>
          <w:rStyle w:val="FootnoteReference"/>
        </w:rPr>
        <w:footnoteReference w:id="123"/>
      </w:r>
      <w:r>
        <w:t xml:space="preserve">.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Renewable Volume Obligations (RVOs):</w:t>
      </w:r>
      <w:r>
        <w:t xml:space="preserve"> </w:t>
      </w:r>
      <w:r>
        <w:t xml:space="preserve">one speaker argued the RVO decision is highly important—</w:t>
      </w:r>
      <w:r>
        <w:t xml:space="preserve">“</w:t>
      </w:r>
      <w:r>
        <w:t xml:space="preserve">more important…than E15 getting it done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 Separately, another segment cited EPA’s proposed</w:t>
      </w:r>
      <w:r>
        <w:t xml:space="preserve"> </w:t>
      </w:r>
      <w:r>
        <w:rPr>
          <w:bCs/>
          <w:b/>
        </w:rPr>
        <w:t xml:space="preserve">5.6B gallons</w:t>
      </w:r>
      <w:r>
        <w:t xml:space="preserve"> </w:t>
      </w:r>
      <w:r>
        <w:t xml:space="preserve">for biomass-based diesel, described as</w:t>
      </w:r>
      <w:r>
        <w:t xml:space="preserve"> </w:t>
      </w:r>
      <w:r>
        <w:rPr>
          <w:bCs/>
          <w:b/>
        </w:rPr>
        <w:t xml:space="preserve">+2B gallons</w:t>
      </w:r>
      <w:r>
        <w:t xml:space="preserve"> </w:t>
      </w:r>
      <w:r>
        <w:t xml:space="preserve">versus current volumes and</w:t>
      </w:r>
      <w:r>
        <w:t xml:space="preserve"> </w:t>
      </w:r>
      <w:r>
        <w:t xml:space="preserve">“</w:t>
      </w:r>
      <w:r>
        <w:t xml:space="preserve">over a 60% increase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Trade:</w:t>
      </w:r>
    </w:p>
    <w:p>
      <w:pPr>
        <w:numPr>
          <w:ilvl w:val="1"/>
          <w:numId w:val="1023"/>
        </w:numPr>
        <w:pStyle w:val="Compact"/>
      </w:pPr>
      <w:r>
        <w:t xml:space="preserve">Rollins also said there was a</w:t>
      </w:r>
      <w:r>
        <w:t xml:space="preserve"> </w:t>
      </w:r>
      <w:r>
        <w:t xml:space="preserve">“</w:t>
      </w:r>
      <w:r>
        <w:t xml:space="preserve">very good possibility</w:t>
      </w:r>
      <w:r>
        <w:t xml:space="preserve">”</w:t>
      </w:r>
      <w:r>
        <w:t xml:space="preserve"> </w:t>
      </w:r>
      <w:r>
        <w:t xml:space="preserve">of more U.S. agricultural purchases by</w:t>
      </w:r>
      <w:r>
        <w:t xml:space="preserve"> </w:t>
      </w:r>
      <w:r>
        <w:rPr>
          <w:bCs/>
          <w:b/>
        </w:rPr>
        <w:t xml:space="preserve">China</w:t>
      </w:r>
      <w:r>
        <w:t xml:space="preserve"> </w:t>
      </w:r>
      <w:r>
        <w:t xml:space="preserve">soon, including soybeans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.</w:t>
      </w:r>
    </w:p>
    <w:p>
      <w:pPr>
        <w:numPr>
          <w:ilvl w:val="1"/>
          <w:numId w:val="1023"/>
        </w:numPr>
        <w:pStyle w:val="Compact"/>
      </w:pPr>
      <w:r>
        <w:t xml:space="preserve">USMCA access was emphasized with Texas citing</w:t>
      </w:r>
      <w:r>
        <w:t xml:space="preserve"> </w:t>
      </w:r>
      <w:r>
        <w:rPr>
          <w:bCs/>
          <w:b/>
        </w:rPr>
        <w:t xml:space="preserve">$6.4B</w:t>
      </w:r>
      <w:r>
        <w:t xml:space="preserve"> </w:t>
      </w:r>
      <w:r>
        <w:t xml:space="preserve">of ag exports to Mexico/Canada in 2025, while noting Mexico as the biggest U.S. corn customer and Canada as the biggest buyer of U.S. ethanol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Market commentary scenario (not a forecast):</w:t>
      </w:r>
      <w:r>
        <w:t xml:space="preserve"> </w:t>
      </w:r>
      <w:r>
        <w:t xml:space="preserve">one GrainStats post suggested that if crude oil rallied to</w:t>
      </w:r>
      <w:r>
        <w:t xml:space="preserve"> </w:t>
      </w:r>
      <w:r>
        <w:rPr>
          <w:bCs/>
          <w:b/>
        </w:rPr>
        <w:t xml:space="preserve">$150/barrel</w:t>
      </w:r>
      <w:r>
        <w:t xml:space="preserve">, it would increase the odds of nationwide (voluntary) E15 being signed into law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bookmarkEnd w:id="130"/>
    <w:bookmarkStart w:id="132" w:name="Xda81748ff94aefe8d0267c66ffdd826ccf7b2d0"/>
    <w:p>
      <w:pPr>
        <w:pStyle w:val="Heading3"/>
      </w:pPr>
      <w:r>
        <w:t xml:space="preserve">Seasonal planning: weather uncertainty remains high</w:t>
      </w:r>
    </w:p>
    <w:p>
      <w:pPr>
        <w:numPr>
          <w:ilvl w:val="0"/>
          <w:numId w:val="1024"/>
        </w:numPr>
        <w:pStyle w:val="Compact"/>
      </w:pPr>
      <w:r>
        <w:t xml:space="preserve">Weather was described as a major</w:t>
      </w:r>
      <w:r>
        <w:t xml:space="preserve"> </w:t>
      </w:r>
      <w:r>
        <w:t xml:space="preserve">“</w:t>
      </w:r>
      <w:r>
        <w:t xml:space="preserve">wild card,</w:t>
      </w:r>
      <w:r>
        <w:t xml:space="preserve">”</w:t>
      </w:r>
      <w:r>
        <w:t xml:space="preserve"> </w:t>
      </w:r>
      <w:r>
        <w:t xml:space="preserve">with attention on how quickly the pattern transitions after the rapid La Niña exit and on whether Plains drought pockets persist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2"/>
    <w:bookmarkStart w:id="1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5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25"/>
        </w:numPr>
        <w:pStyle w:val="Compact"/>
      </w:pPr>
      <w:hyperlink r:id="rId25">
        <w:r>
          <w:rPr>
            <w:rStyle w:val="Hyperlink"/>
          </w:rPr>
          <w:t xml:space="preserve">r/farming post by u/Ranew</w:t>
        </w:r>
      </w:hyperlink>
    </w:p>
    <w:p>
      <w:pPr>
        <w:numPr>
          <w:ilvl w:val="0"/>
          <w:numId w:val="1025"/>
        </w:numPr>
        <w:pStyle w:val="Compact"/>
      </w:pPr>
      <w:hyperlink r:id="rId30">
        <w:r>
          <w:rPr>
            <w:rStyle w:val="Hyperlink"/>
          </w:rPr>
          <w:t xml:space="preserve">Farm Groups Push Biofuels, Trade to Boost Grain Prices</w:t>
        </w:r>
      </w:hyperlink>
    </w:p>
    <w:p>
      <w:pPr>
        <w:numPr>
          <w:ilvl w:val="0"/>
          <w:numId w:val="1025"/>
        </w:numPr>
        <w:pStyle w:val="Compact"/>
      </w:pPr>
      <w:hyperlink r:id="rId34">
        <w:r>
          <w:rPr>
            <w:rStyle w:val="Hyperlink"/>
          </w:rPr>
          <w:t xml:space="preserve">California Emerges as Key Battleground for E15 Expansion</w:t>
        </w:r>
      </w:hyperlink>
    </w:p>
    <w:p>
      <w:pPr>
        <w:numPr>
          <w:ilvl w:val="0"/>
          <w:numId w:val="1025"/>
        </w:numPr>
        <w:pStyle w:val="Compact"/>
      </w:pP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  <w:p>
      <w:pPr>
        <w:numPr>
          <w:ilvl w:val="0"/>
          <w:numId w:val="1025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25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  <w:p>
      <w:pPr>
        <w:numPr>
          <w:ilvl w:val="0"/>
          <w:numId w:val="1025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  <w:p>
      <w:pPr>
        <w:numPr>
          <w:ilvl w:val="0"/>
          <w:numId w:val="1025"/>
        </w:numPr>
        <w:pStyle w:val="Compact"/>
      </w:pP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  <w:p>
      <w:pPr>
        <w:numPr>
          <w:ilvl w:val="0"/>
          <w:numId w:val="1025"/>
        </w:numPr>
        <w:pStyle w:val="Compact"/>
      </w:pPr>
      <w:hyperlink r:id="rId69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25"/>
        </w:numPr>
        <w:pStyle w:val="Compact"/>
      </w:pPr>
      <w:hyperlink r:id="rId72">
        <w:r>
          <w:rPr>
            <w:rStyle w:val="Hyperlink"/>
          </w:rPr>
          <w:t xml:space="preserve">r/farming comment by u/Janet_DWillett</w:t>
        </w:r>
      </w:hyperlink>
    </w:p>
    <w:p>
      <w:pPr>
        <w:numPr>
          <w:ilvl w:val="0"/>
          <w:numId w:val="1025"/>
        </w:numPr>
        <w:pStyle w:val="Compact"/>
      </w:pPr>
      <w:hyperlink r:id="rId74">
        <w:r>
          <w:rPr>
            <w:rStyle w:val="Hyperlink"/>
          </w:rPr>
          <w:t xml:space="preserve">r/farming comment by u/Farmerstubble</w:t>
        </w:r>
      </w:hyperlink>
    </w:p>
    <w:p>
      <w:pPr>
        <w:numPr>
          <w:ilvl w:val="0"/>
          <w:numId w:val="1025"/>
        </w:numPr>
        <w:pStyle w:val="Compact"/>
      </w:pPr>
      <w:hyperlink r:id="rId76">
        <w:r>
          <w:rPr>
            <w:rStyle w:val="Hyperlink"/>
          </w:rPr>
          <w:t xml:space="preserve">r/farming comment by u/Cee58</w:t>
        </w:r>
      </w:hyperlink>
    </w:p>
    <w:p>
      <w:pPr>
        <w:numPr>
          <w:ilvl w:val="0"/>
          <w:numId w:val="1025"/>
        </w:numPr>
        <w:pStyle w:val="Compact"/>
      </w:pPr>
      <w:hyperlink r:id="rId87">
        <w:r>
          <w:rPr>
            <w:rStyle w:val="Hyperlink"/>
          </w:rPr>
          <w:t xml:space="preserve">Rapid La Niña Exit Raises the El Niño Alarm</w:t>
        </w:r>
      </w:hyperlink>
    </w:p>
    <w:p>
      <w:pPr>
        <w:numPr>
          <w:ilvl w:val="0"/>
          <w:numId w:val="1025"/>
        </w:numPr>
        <w:pStyle w:val="Compact"/>
      </w:pPr>
      <w:hyperlink r:id="rId98">
        <w:r>
          <w:rPr>
            <w:rStyle w:val="Hyperlink"/>
          </w:rPr>
          <w:t xml:space="preserve">Why Prairie Matters: Whitetail Habitat, Soil Health &amp; Conservation</w:t>
        </w:r>
      </w:hyperlink>
    </w:p>
    <w:p>
      <w:pPr>
        <w:numPr>
          <w:ilvl w:val="0"/>
          <w:numId w:val="1025"/>
        </w:numPr>
        <w:pStyle w:val="Compact"/>
      </w:pPr>
      <w:hyperlink r:id="rId103">
        <w:r>
          <w:rPr>
            <w:rStyle w:val="Hyperlink"/>
          </w:rPr>
          <w:t xml:space="preserve">《田园帮帮团》 20260228 年味“帮帮团”·马上生财 | 农业致富经 Agriculture And Farming</w:t>
        </w:r>
      </w:hyperlink>
    </w:p>
    <w:p>
      <w:pPr>
        <w:numPr>
          <w:ilvl w:val="0"/>
          <w:numId w:val="1025"/>
        </w:numPr>
        <w:pStyle w:val="Compact"/>
      </w:pPr>
      <w:hyperlink r:id="rId120">
        <w:r>
          <w:rPr>
            <w:rStyle w:val="Hyperlink"/>
          </w:rPr>
          <w:t xml:space="preserve">USDA Launches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One Farmer, One File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Initiative: What It Means for Farmers</w:t>
        </w:r>
      </w:hyperlink>
    </w:p>
    <w:p>
      <w:pPr>
        <w:numPr>
          <w:ilvl w:val="0"/>
          <w:numId w:val="1025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bookmarkEnd w:id="133"/>
    <w:bookmarkEnd w:id="134"/>
    <w:bookmarkEnd w:id="1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r/farming post by u/Ranew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r/farming post by u/Ranew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r/farming post by u/Ranew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Farm Groups Push Biofuels, Trade to Boost Grain Prices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Farm Groups Push Biofuels, Trade to Boost Grain Prices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Farm Groups Push Biofuels, Trade to Boost Grain Prices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California Emerges as Key Battleground for E15 Expansion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California Emerges as Key Battleground for E15 Expansion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California Emerges as Key Battleground for E15 Expansion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California Emerges as Key Battleground for E15 Expansion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r/farming post by u/MennoniteDan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r/farming post by u/MennoniteDan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r/farming comment by u/Janet_DWillett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r/farming comment by u/Farmerstubble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r/farming comment by u/Cee58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Rapid La Niña Exit Raises the El Niño Alarm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Rapid La Niña Exit Raises the El Niño Alarm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Rapid La Niña Exit Raises the El Niño Alarm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Rapid La Niña Exit Raises the El Niño Alarm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Eye on Conservation: Tennessee Soybean Grower Wins National Conservation Honor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Why Prairie Matters: Whitetail Habitat, Soil Health &amp; Conservation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Why Prairie Matters: Whitetail Habitat, Soil Health &amp; Conservation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Why Prairie Matters: Whitetail Habitat, Soil Health &amp; Conservation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《田园帮帮团》 20260228 年味“帮帮团”·马上生财 | 农业致富经 Agriculture And Farming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《田园帮帮团》 20260228 年味“帮帮团”·马上生财 | 农业致富经 Agriculture And Farming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《田园帮帮团》 20260228 年味“帮帮团”·马上生财 | 农业致富经 Agriculture And Farming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《田园帮帮团》 20260228 年味“帮帮团”·马上生财 | 农业致富经 Agriculture And Farming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《田园帮帮团》 20260228 年味“帮帮团”·马上生财 | 农业致富经 Agriculture And Farming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r/farming post by u/Ranew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r/farming post by u/Ranew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Crédito mais acessível? AL5 Amaggi aposta em expansão no agro | Estúdio Rural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Launches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One Farmer, One File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Initiative: What It Means for Farmers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Launches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One Farmer, One File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Initiative: What It Means for Farmers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Launches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One Farmer, One File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Initiative: What It Means for Farmers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Farm Groups Push Biofuels, Trade to Boost Grain Prices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Launches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One Farmer, One File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Initiative: What It Means for Farmers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USDA Launches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One Farmer, One File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Initiative: What It Means for Farmers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Rapid La Niña Exit Raises the El Niño Alarm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0" Target="media/rId50.jpg" /><Relationship Type="http://schemas.openxmlformats.org/officeDocument/2006/relationships/image" Id="rId38" Target="media/rId38.jpg" /><Relationship Type="http://schemas.openxmlformats.org/officeDocument/2006/relationships/hyperlink" Id="rId25" Target="https://www.reddit.com/r/farming/comments/1rh26lr/" TargetMode="External" /><Relationship Type="http://schemas.openxmlformats.org/officeDocument/2006/relationships/hyperlink" Id="rId69" Target="https://www.reddit.com/r/farming/comments/1rh5gc9/" TargetMode="External" /><Relationship Type="http://schemas.openxmlformats.org/officeDocument/2006/relationships/hyperlink" Id="rId72" Target="https://www.reddit.com/r/farming/comments/1rh5gc9/comment/o7wapqg/" TargetMode="External" /><Relationship Type="http://schemas.openxmlformats.org/officeDocument/2006/relationships/hyperlink" Id="rId74" Target="https://www.reddit.com/r/farming/comments/1rh5gc9/comment/o7wnqvs/" TargetMode="External" /><Relationship Type="http://schemas.openxmlformats.org/officeDocument/2006/relationships/hyperlink" Id="rId76" Target="https://www.reddit.com/r/farming/comments/1rh5gc9/comment/o7wq6tl/" TargetMode="External" /><Relationship Type="http://schemas.openxmlformats.org/officeDocument/2006/relationships/hyperlink" Id="rId30" Target="https://www.youtube.com/watch?v=-Axei06hZq0" TargetMode="External" /><Relationship Type="http://schemas.openxmlformats.org/officeDocument/2006/relationships/hyperlink" Id="rId63" Target="https://www.youtube.com/watch?v=2O45EbC2MWY" TargetMode="External" /><Relationship Type="http://schemas.openxmlformats.org/officeDocument/2006/relationships/hyperlink" Id="rId103" Target="https://www.youtube.com/watch?v=6M8VQWmAZjs" TargetMode="External" /><Relationship Type="http://schemas.openxmlformats.org/officeDocument/2006/relationships/hyperlink" Id="rId45" Target="https://www.youtube.com/watch?v=8YJN7F4ZojU" TargetMode="External" /><Relationship Type="http://schemas.openxmlformats.org/officeDocument/2006/relationships/hyperlink" Id="rId34" Target="https://www.youtube.com/watch?v=AdE-lMjSVQ8" TargetMode="External" /><Relationship Type="http://schemas.openxmlformats.org/officeDocument/2006/relationships/hyperlink" Id="rId98" Target="https://www.youtube.com/watch?v=Fv7G1cpcswM" TargetMode="External" /><Relationship Type="http://schemas.openxmlformats.org/officeDocument/2006/relationships/hyperlink" Id="rId120" Target="https://www.youtube.com/watch?v=HJSWR8VbcXg" TargetMode="External" /><Relationship Type="http://schemas.openxmlformats.org/officeDocument/2006/relationships/hyperlink" Id="rId87" Target="https://www.youtube.com/watch?v=mZ3T_iXpUu0" TargetMode="External" /><Relationship Type="http://schemas.openxmlformats.org/officeDocument/2006/relationships/hyperlink" Id="rId129" Target="https://x.com/GrainStats/status/2027791337546768522" TargetMode="External" /><Relationship Type="http://schemas.openxmlformats.org/officeDocument/2006/relationships/hyperlink" Id="rId21" Target="https://x.com/GrainStats/status/2027826005809733947" TargetMode="External" /><Relationship Type="http://schemas.openxmlformats.org/officeDocument/2006/relationships/hyperlink" Id="rId60" Target="https://x.com/NickHorob/status/2027758000304226534" TargetMode="External" /><Relationship Type="http://schemas.openxmlformats.org/officeDocument/2006/relationships/hyperlink" Id="rId58" Target="https://x.com/NickHorob/status/2027921445142102496" TargetMode="External" /><Relationship Type="http://schemas.openxmlformats.org/officeDocument/2006/relationships/hyperlink" Id="rId56" Target="https://x.com/SuccessfulFarm/status/2027624859367264717" TargetMode="External" /><Relationship Type="http://schemas.openxmlformats.org/officeDocument/2006/relationships/hyperlink" Id="rId53" Target="https://youtube.com/watch?v=8YJN7F4ZojU&amp;t=187" TargetMode="External" /><Relationship Type="http://schemas.openxmlformats.org/officeDocument/2006/relationships/hyperlink" Id="rId41" Target="https://youtube.com/watch?v=AdE-lMjSVQ8&amp;t=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reddit.com/r/farming/comments/1rh26lr/" TargetMode="External" /><Relationship Type="http://schemas.openxmlformats.org/officeDocument/2006/relationships/hyperlink" Id="rId69" Target="https://www.reddit.com/r/farming/comments/1rh5gc9/" TargetMode="External" /><Relationship Type="http://schemas.openxmlformats.org/officeDocument/2006/relationships/hyperlink" Id="rId72" Target="https://www.reddit.com/r/farming/comments/1rh5gc9/comment/o7wapqg/" TargetMode="External" /><Relationship Type="http://schemas.openxmlformats.org/officeDocument/2006/relationships/hyperlink" Id="rId74" Target="https://www.reddit.com/r/farming/comments/1rh5gc9/comment/o7wnqvs/" TargetMode="External" /><Relationship Type="http://schemas.openxmlformats.org/officeDocument/2006/relationships/hyperlink" Id="rId76" Target="https://www.reddit.com/r/farming/comments/1rh5gc9/comment/o7wq6tl/" TargetMode="External" /><Relationship Type="http://schemas.openxmlformats.org/officeDocument/2006/relationships/hyperlink" Id="rId30" Target="https://www.youtube.com/watch?v=-Axei06hZq0" TargetMode="External" /><Relationship Type="http://schemas.openxmlformats.org/officeDocument/2006/relationships/hyperlink" Id="rId63" Target="https://www.youtube.com/watch?v=2O45EbC2MWY" TargetMode="External" /><Relationship Type="http://schemas.openxmlformats.org/officeDocument/2006/relationships/hyperlink" Id="rId103" Target="https://www.youtube.com/watch?v=6M8VQWmAZjs" TargetMode="External" /><Relationship Type="http://schemas.openxmlformats.org/officeDocument/2006/relationships/hyperlink" Id="rId45" Target="https://www.youtube.com/watch?v=8YJN7F4ZojU" TargetMode="External" /><Relationship Type="http://schemas.openxmlformats.org/officeDocument/2006/relationships/hyperlink" Id="rId34" Target="https://www.youtube.com/watch?v=AdE-lMjSVQ8" TargetMode="External" /><Relationship Type="http://schemas.openxmlformats.org/officeDocument/2006/relationships/hyperlink" Id="rId98" Target="https://www.youtube.com/watch?v=Fv7G1cpcswM" TargetMode="External" /><Relationship Type="http://schemas.openxmlformats.org/officeDocument/2006/relationships/hyperlink" Id="rId120" Target="https://www.youtube.com/watch?v=HJSWR8VbcXg" TargetMode="External" /><Relationship Type="http://schemas.openxmlformats.org/officeDocument/2006/relationships/hyperlink" Id="rId87" Target="https://www.youtube.com/watch?v=mZ3T_iXpUu0" TargetMode="External" /><Relationship Type="http://schemas.openxmlformats.org/officeDocument/2006/relationships/hyperlink" Id="rId129" Target="https://x.com/GrainStats/status/2027791337546768522" TargetMode="External" /><Relationship Type="http://schemas.openxmlformats.org/officeDocument/2006/relationships/hyperlink" Id="rId21" Target="https://x.com/GrainStats/status/2027826005809733947" TargetMode="External" /><Relationship Type="http://schemas.openxmlformats.org/officeDocument/2006/relationships/hyperlink" Id="rId60" Target="https://x.com/NickHorob/status/2027758000304226534" TargetMode="External" /><Relationship Type="http://schemas.openxmlformats.org/officeDocument/2006/relationships/hyperlink" Id="rId58" Target="https://x.com/NickHorob/status/2027921445142102496" TargetMode="External" /><Relationship Type="http://schemas.openxmlformats.org/officeDocument/2006/relationships/hyperlink" Id="rId56" Target="https://x.com/SuccessfulFarm/status/2027624859367264717" TargetMode="External" /><Relationship Type="http://schemas.openxmlformats.org/officeDocument/2006/relationships/hyperlink" Id="rId53" Target="https://youtube.com/watch?v=8YJN7F4ZojU&amp;t=187" TargetMode="External" /><Relationship Type="http://schemas.openxmlformats.org/officeDocument/2006/relationships/hyperlink" Id="rId41" Target="https://youtube.com/watch?v=AdE-lMjSVQ8&amp;t=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 short-covering, E15/RVO demand bets, and Brazil logistics + credit pressure</dc:title>
  <dc:creator>Global Agricultural Developments</dc:creator>
  <cp:keywords/>
  <dcterms:created xsi:type="dcterms:W3CDTF">2026-03-01T22:53:48Z</dcterms:created>
  <dcterms:modified xsi:type="dcterms:W3CDTF">2026-03-01T22:53:48Z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2026-03-01</vt:lpwstr>
  </property>
</Properties>
</file>